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E9C" w:rsidRDefault="00766E9C" w:rsidP="002A4FC6">
      <w:pPr>
        <w:jc w:val="both"/>
        <w:rPr>
          <w:lang w:val="es-CO"/>
        </w:rPr>
      </w:pPr>
      <w:bookmarkStart w:id="0" w:name="_GoBack"/>
      <w:bookmarkEnd w:id="0"/>
      <w:r>
        <w:rPr>
          <w:lang w:val="es-CO"/>
        </w:rPr>
        <w:t>Señores</w:t>
      </w:r>
    </w:p>
    <w:p w:rsidR="00766E9C" w:rsidRDefault="00766E9C" w:rsidP="002A4FC6">
      <w:pPr>
        <w:jc w:val="both"/>
        <w:rPr>
          <w:lang w:val="es-CO"/>
        </w:rPr>
      </w:pPr>
      <w:r>
        <w:rPr>
          <w:lang w:val="es-CO"/>
        </w:rPr>
        <w:t>Comisión Nacional de Precios de Medicamentos y Dispositivos Médicos</w:t>
      </w:r>
    </w:p>
    <w:p w:rsidR="00766E9C" w:rsidRDefault="00766E9C" w:rsidP="002A4FC6">
      <w:pPr>
        <w:jc w:val="both"/>
        <w:rPr>
          <w:lang w:val="es-CO"/>
        </w:rPr>
      </w:pPr>
      <w:r>
        <w:rPr>
          <w:lang w:val="es-CO"/>
        </w:rPr>
        <w:t>Bogotá</w:t>
      </w:r>
    </w:p>
    <w:p w:rsidR="00766E9C" w:rsidRDefault="00766E9C" w:rsidP="002A4FC6">
      <w:pPr>
        <w:jc w:val="both"/>
        <w:rPr>
          <w:lang w:val="es-CO"/>
        </w:rPr>
      </w:pPr>
    </w:p>
    <w:p w:rsidR="006A0D59" w:rsidRDefault="00041A9C" w:rsidP="002A4FC6">
      <w:pPr>
        <w:jc w:val="both"/>
        <w:rPr>
          <w:lang w:val="es-CO"/>
        </w:rPr>
      </w:pPr>
      <w:r>
        <w:rPr>
          <w:lang w:val="es-CO"/>
        </w:rPr>
        <w:t>Cordial salud</w:t>
      </w:r>
      <w:r w:rsidR="002A4FC6">
        <w:rPr>
          <w:lang w:val="es-CO"/>
        </w:rPr>
        <w:t>o</w:t>
      </w:r>
    </w:p>
    <w:p w:rsidR="00041A9C" w:rsidRDefault="00041A9C" w:rsidP="002A4FC6">
      <w:pPr>
        <w:jc w:val="both"/>
        <w:rPr>
          <w:lang w:val="es-CO"/>
        </w:rPr>
      </w:pPr>
    </w:p>
    <w:p w:rsidR="00766E9C" w:rsidRDefault="001326A5" w:rsidP="002A4FC6">
      <w:pPr>
        <w:jc w:val="both"/>
        <w:rPr>
          <w:lang w:val="es-CO"/>
        </w:rPr>
      </w:pPr>
      <w:r>
        <w:rPr>
          <w:lang w:val="es-CO"/>
        </w:rPr>
        <w:t xml:space="preserve">El jueves de la semana pasada fuimos convocados para la </w:t>
      </w:r>
      <w:r w:rsidR="00041A9C">
        <w:rPr>
          <w:lang w:val="es-CO"/>
        </w:rPr>
        <w:t xml:space="preserve">revisión </w:t>
      </w:r>
      <w:r>
        <w:rPr>
          <w:lang w:val="es-CO"/>
        </w:rPr>
        <w:t>de los precios publicado</w:t>
      </w:r>
      <w:r w:rsidR="00FD3353">
        <w:rPr>
          <w:lang w:val="es-CO"/>
        </w:rPr>
        <w:t xml:space="preserve">s en la Circular 03 de 2013 </w:t>
      </w:r>
      <w:r>
        <w:rPr>
          <w:lang w:val="es-CO"/>
        </w:rPr>
        <w:t>con miembros del Grupo Técnico Asesor de la CNPMDM.  C</w:t>
      </w:r>
      <w:r w:rsidR="00766E9C">
        <w:rPr>
          <w:lang w:val="es-CO"/>
        </w:rPr>
        <w:t xml:space="preserve">onforme a </w:t>
      </w:r>
      <w:r>
        <w:rPr>
          <w:lang w:val="es-CO"/>
        </w:rPr>
        <w:t xml:space="preserve">las indicaciones de dicho </w:t>
      </w:r>
      <w:r w:rsidR="00766E9C">
        <w:rPr>
          <w:lang w:val="es-CO"/>
        </w:rPr>
        <w:t xml:space="preserve">equipo </w:t>
      </w:r>
      <w:r>
        <w:rPr>
          <w:lang w:val="es-CO"/>
        </w:rPr>
        <w:t xml:space="preserve">anexamos los soportes respectivos y presentamos las aclaraciones requeridas </w:t>
      </w:r>
      <w:r w:rsidR="00766E9C">
        <w:rPr>
          <w:lang w:val="es-CO"/>
        </w:rPr>
        <w:t>en los siguientes términos</w:t>
      </w:r>
      <w:r>
        <w:rPr>
          <w:lang w:val="es-CO"/>
        </w:rPr>
        <w:t>:</w:t>
      </w:r>
    </w:p>
    <w:p w:rsidR="00041A9C" w:rsidRPr="00447A41" w:rsidRDefault="00DC5EAF" w:rsidP="002A4FC6">
      <w:pPr>
        <w:pStyle w:val="Prrafodelista"/>
        <w:numPr>
          <w:ilvl w:val="0"/>
          <w:numId w:val="2"/>
        </w:numPr>
        <w:jc w:val="both"/>
        <w:rPr>
          <w:b/>
          <w:lang w:val="es-CO"/>
        </w:rPr>
      </w:pPr>
      <w:r>
        <w:rPr>
          <w:b/>
          <w:lang w:val="es-CO"/>
        </w:rPr>
        <w:t xml:space="preserve">INCLUSION DE PRECIOS </w:t>
      </w:r>
      <w:r w:rsidR="006F4B5D">
        <w:rPr>
          <w:b/>
          <w:lang w:val="es-CO"/>
        </w:rPr>
        <w:t>EN</w:t>
      </w:r>
      <w:r>
        <w:rPr>
          <w:b/>
          <w:lang w:val="es-CO"/>
        </w:rPr>
        <w:t xml:space="preserve"> </w:t>
      </w:r>
      <w:r w:rsidR="006F4B5D">
        <w:rPr>
          <w:b/>
          <w:lang w:val="es-CO"/>
        </w:rPr>
        <w:t xml:space="preserve">TRES (3) </w:t>
      </w:r>
      <w:r>
        <w:rPr>
          <w:b/>
          <w:lang w:val="es-CO"/>
        </w:rPr>
        <w:t>PAISES ADICIONALES PARA SORAFENIB</w:t>
      </w:r>
      <w:r w:rsidR="00041A9C" w:rsidRPr="00447A41">
        <w:rPr>
          <w:b/>
          <w:lang w:val="es-CO"/>
        </w:rPr>
        <w:t>:</w:t>
      </w:r>
    </w:p>
    <w:p w:rsidR="00DC5EAF" w:rsidRDefault="00DC5EAF" w:rsidP="002A4FC6">
      <w:pPr>
        <w:pStyle w:val="Prrafodelista"/>
        <w:ind w:left="360"/>
        <w:jc w:val="both"/>
        <w:rPr>
          <w:lang w:val="es-CO"/>
        </w:rPr>
      </w:pPr>
    </w:p>
    <w:p w:rsidR="008B5EED" w:rsidRPr="002A4FC6" w:rsidRDefault="008B5EED" w:rsidP="002A4FC6">
      <w:pPr>
        <w:pStyle w:val="Prrafodelista"/>
        <w:numPr>
          <w:ilvl w:val="0"/>
          <w:numId w:val="1"/>
        </w:numPr>
        <w:jc w:val="both"/>
        <w:rPr>
          <w:b/>
          <w:lang w:val="es-CO"/>
        </w:rPr>
      </w:pPr>
      <w:r w:rsidRPr="002A4FC6">
        <w:rPr>
          <w:b/>
          <w:lang w:val="es-CO"/>
        </w:rPr>
        <w:t>Canadá – Provincia de Ontario:</w:t>
      </w:r>
    </w:p>
    <w:p w:rsidR="008B5EED" w:rsidRPr="008B5EED" w:rsidRDefault="008B5EED" w:rsidP="002A4FC6">
      <w:pPr>
        <w:jc w:val="both"/>
        <w:rPr>
          <w:rFonts w:ascii="Verdana" w:eastAsia="Times New Roman" w:hAnsi="Verdana" w:cs="Times New Roman"/>
          <w:color w:val="000000"/>
          <w:sz w:val="18"/>
          <w:szCs w:val="18"/>
          <w:lang w:eastAsia="es-ES"/>
        </w:rPr>
      </w:pPr>
      <w:r w:rsidRPr="002A4FC6">
        <w:rPr>
          <w:b/>
          <w:lang w:val="es-CO"/>
        </w:rPr>
        <w:t>Solicitud:</w:t>
      </w:r>
      <w:r>
        <w:rPr>
          <w:lang w:val="es-CO"/>
        </w:rPr>
        <w:t xml:space="preserve"> El grupo técnico asesor de la CNPM</w:t>
      </w:r>
      <w:r w:rsidR="00F537EB">
        <w:rPr>
          <w:lang w:val="es-CO"/>
        </w:rPr>
        <w:t>DM</w:t>
      </w:r>
      <w:r>
        <w:rPr>
          <w:lang w:val="es-CO"/>
        </w:rPr>
        <w:t xml:space="preserve"> solicitaba una constancia del precio publicado para el producto Sorafenib en la base </w:t>
      </w:r>
      <w:r w:rsidRPr="008B5EED">
        <w:rPr>
          <w:rFonts w:ascii="Verdana" w:eastAsia="Times New Roman" w:hAnsi="Verdana" w:cs="Times New Roman"/>
          <w:color w:val="000000"/>
          <w:sz w:val="18"/>
          <w:szCs w:val="18"/>
          <w:lang w:eastAsia="es-ES"/>
        </w:rPr>
        <w:t xml:space="preserve">Ontario </w:t>
      </w:r>
      <w:proofErr w:type="spellStart"/>
      <w:r w:rsidRPr="008B5EED">
        <w:rPr>
          <w:rFonts w:ascii="Verdana" w:eastAsia="Times New Roman" w:hAnsi="Verdana" w:cs="Times New Roman"/>
          <w:color w:val="000000"/>
          <w:sz w:val="18"/>
          <w:szCs w:val="18"/>
          <w:lang w:eastAsia="es-ES"/>
        </w:rPr>
        <w:t>Drug</w:t>
      </w:r>
      <w:proofErr w:type="spellEnd"/>
      <w:r w:rsidRPr="008B5EED">
        <w:rPr>
          <w:rFonts w:ascii="Verdana" w:eastAsia="Times New Roman" w:hAnsi="Verdana" w:cs="Times New Roman"/>
          <w:color w:val="000000"/>
          <w:sz w:val="18"/>
          <w:szCs w:val="18"/>
          <w:lang w:eastAsia="es-ES"/>
        </w:rPr>
        <w:t xml:space="preserve"> </w:t>
      </w:r>
      <w:proofErr w:type="spellStart"/>
      <w:r w:rsidRPr="008B5EED">
        <w:rPr>
          <w:rFonts w:ascii="Verdana" w:eastAsia="Times New Roman" w:hAnsi="Verdana" w:cs="Times New Roman"/>
          <w:color w:val="000000"/>
          <w:sz w:val="18"/>
          <w:szCs w:val="18"/>
          <w:lang w:eastAsia="es-ES"/>
        </w:rPr>
        <w:t>Benefit</w:t>
      </w:r>
      <w:proofErr w:type="spellEnd"/>
      <w:r w:rsidRPr="008B5EED">
        <w:rPr>
          <w:rFonts w:ascii="Verdana" w:eastAsia="Times New Roman" w:hAnsi="Verdana" w:cs="Times New Roman"/>
          <w:color w:val="000000"/>
          <w:sz w:val="18"/>
          <w:szCs w:val="18"/>
          <w:lang w:eastAsia="es-ES"/>
        </w:rPr>
        <w:t xml:space="preserve"> </w:t>
      </w:r>
      <w:proofErr w:type="spellStart"/>
      <w:r w:rsidRPr="008B5EED">
        <w:rPr>
          <w:rFonts w:ascii="Verdana" w:eastAsia="Times New Roman" w:hAnsi="Verdana" w:cs="Times New Roman"/>
          <w:color w:val="000000"/>
          <w:sz w:val="18"/>
          <w:szCs w:val="18"/>
          <w:lang w:eastAsia="es-ES"/>
        </w:rPr>
        <w:t>Formulary</w:t>
      </w:r>
      <w:proofErr w:type="spellEnd"/>
      <w:r w:rsidRPr="008B5EED">
        <w:rPr>
          <w:rFonts w:ascii="Verdana" w:eastAsia="Times New Roman" w:hAnsi="Verdana" w:cs="Times New Roman"/>
          <w:color w:val="000000"/>
          <w:sz w:val="18"/>
          <w:szCs w:val="18"/>
          <w:lang w:eastAsia="es-ES"/>
        </w:rPr>
        <w:t>/</w:t>
      </w:r>
      <w:proofErr w:type="spellStart"/>
      <w:r w:rsidRPr="008B5EED">
        <w:rPr>
          <w:rFonts w:ascii="Verdana" w:eastAsia="Times New Roman" w:hAnsi="Verdana" w:cs="Times New Roman"/>
          <w:color w:val="000000"/>
          <w:sz w:val="18"/>
          <w:szCs w:val="18"/>
          <w:lang w:eastAsia="es-ES"/>
        </w:rPr>
        <w:t>Comparative</w:t>
      </w:r>
      <w:proofErr w:type="spellEnd"/>
      <w:r w:rsidRPr="008B5EED">
        <w:rPr>
          <w:rFonts w:ascii="Verdana" w:eastAsia="Times New Roman" w:hAnsi="Verdana" w:cs="Times New Roman"/>
          <w:color w:val="000000"/>
          <w:sz w:val="18"/>
          <w:szCs w:val="18"/>
          <w:lang w:eastAsia="es-ES"/>
        </w:rPr>
        <w:t xml:space="preserve"> </w:t>
      </w:r>
      <w:proofErr w:type="spellStart"/>
      <w:r w:rsidRPr="008B5EED">
        <w:rPr>
          <w:rFonts w:ascii="Verdana" w:eastAsia="Times New Roman" w:hAnsi="Verdana" w:cs="Times New Roman"/>
          <w:color w:val="000000"/>
          <w:sz w:val="18"/>
          <w:szCs w:val="18"/>
          <w:lang w:eastAsia="es-ES"/>
        </w:rPr>
        <w:t>Drug</w:t>
      </w:r>
      <w:proofErr w:type="spellEnd"/>
      <w:r w:rsidRPr="008B5EED">
        <w:rPr>
          <w:rFonts w:ascii="Verdana" w:eastAsia="Times New Roman" w:hAnsi="Verdana" w:cs="Times New Roman"/>
          <w:color w:val="000000"/>
          <w:sz w:val="18"/>
          <w:szCs w:val="18"/>
          <w:lang w:eastAsia="es-ES"/>
        </w:rPr>
        <w:t xml:space="preserve"> </w:t>
      </w:r>
      <w:proofErr w:type="spellStart"/>
      <w:r w:rsidRPr="008B5EED">
        <w:rPr>
          <w:rFonts w:ascii="Verdana" w:eastAsia="Times New Roman" w:hAnsi="Verdana" w:cs="Times New Roman"/>
          <w:color w:val="000000"/>
          <w:sz w:val="18"/>
          <w:szCs w:val="18"/>
          <w:lang w:eastAsia="es-ES"/>
        </w:rPr>
        <w:t>Index</w:t>
      </w:r>
      <w:proofErr w:type="spellEnd"/>
      <w:r w:rsidR="001326A5">
        <w:rPr>
          <w:rFonts w:ascii="Verdana" w:eastAsia="Times New Roman" w:hAnsi="Verdana" w:cs="Times New Roman"/>
          <w:color w:val="000000"/>
          <w:sz w:val="18"/>
          <w:szCs w:val="18"/>
          <w:lang w:eastAsia="es-ES"/>
        </w:rPr>
        <w:t>.</w:t>
      </w:r>
    </w:p>
    <w:p w:rsidR="008B5EED" w:rsidRPr="00A65961" w:rsidRDefault="008B5EED" w:rsidP="002A4FC6">
      <w:pPr>
        <w:jc w:val="both"/>
        <w:rPr>
          <w:lang w:val="es-CO"/>
        </w:rPr>
      </w:pPr>
      <w:r w:rsidRPr="002A4FC6">
        <w:rPr>
          <w:b/>
          <w:lang w:val="es-CO"/>
        </w:rPr>
        <w:t>Producto:</w:t>
      </w:r>
      <w:r w:rsidRPr="00A65961">
        <w:rPr>
          <w:lang w:val="es-CO"/>
        </w:rPr>
        <w:t xml:space="preserve"> Sorafenib (Nexavar)</w:t>
      </w:r>
    </w:p>
    <w:p w:rsidR="008B5EED" w:rsidRPr="008B5EED" w:rsidRDefault="008B5EED" w:rsidP="002A4FC6">
      <w:pPr>
        <w:jc w:val="both"/>
        <w:rPr>
          <w:rFonts w:ascii="Verdana" w:eastAsia="Times New Roman" w:hAnsi="Verdana" w:cs="Times New Roman"/>
          <w:color w:val="000000"/>
          <w:sz w:val="18"/>
          <w:szCs w:val="18"/>
          <w:lang w:eastAsia="es-ES"/>
        </w:rPr>
      </w:pPr>
      <w:r w:rsidRPr="002A4FC6">
        <w:rPr>
          <w:b/>
          <w:lang w:val="es-CO"/>
        </w:rPr>
        <w:t>Fuente:</w:t>
      </w:r>
      <w:r>
        <w:rPr>
          <w:lang w:val="es-CO"/>
        </w:rPr>
        <w:t xml:space="preserve"> Precio publicado en la base de datos </w:t>
      </w:r>
      <w:r w:rsidRPr="008B5EED">
        <w:rPr>
          <w:rFonts w:ascii="Verdana" w:eastAsia="Times New Roman" w:hAnsi="Verdana" w:cs="Times New Roman"/>
          <w:color w:val="000000"/>
          <w:sz w:val="18"/>
          <w:szCs w:val="18"/>
          <w:lang w:eastAsia="es-ES"/>
        </w:rPr>
        <w:t>Ontario Drug Benefit Formulary/Comparative Drug Index</w:t>
      </w:r>
      <w:r>
        <w:rPr>
          <w:rFonts w:ascii="Verdana" w:eastAsia="Times New Roman" w:hAnsi="Verdana" w:cs="Times New Roman"/>
          <w:color w:val="000000"/>
          <w:sz w:val="18"/>
          <w:szCs w:val="18"/>
          <w:lang w:eastAsia="es-ES"/>
        </w:rPr>
        <w:t xml:space="preserve"> de Ontario (Canada) (Ver documento anexo No. </w:t>
      </w:r>
      <w:r w:rsidR="00D46FF2">
        <w:rPr>
          <w:rFonts w:ascii="Verdana" w:eastAsia="Times New Roman" w:hAnsi="Verdana" w:cs="Times New Roman"/>
          <w:color w:val="000000"/>
          <w:sz w:val="18"/>
          <w:szCs w:val="18"/>
          <w:lang w:eastAsia="es-ES"/>
        </w:rPr>
        <w:t>1</w:t>
      </w:r>
      <w:r>
        <w:rPr>
          <w:rFonts w:ascii="Verdana" w:eastAsia="Times New Roman" w:hAnsi="Verdana" w:cs="Times New Roman"/>
          <w:color w:val="000000"/>
          <w:sz w:val="18"/>
          <w:szCs w:val="18"/>
          <w:lang w:eastAsia="es-ES"/>
        </w:rPr>
        <w:t xml:space="preserve"> Ruta)</w:t>
      </w:r>
    </w:p>
    <w:p w:rsidR="008B5EED" w:rsidRDefault="008B5EED" w:rsidP="002A4FC6">
      <w:pPr>
        <w:jc w:val="both"/>
        <w:rPr>
          <w:lang w:val="es-CO"/>
        </w:rPr>
      </w:pPr>
      <w:r w:rsidRPr="002A4FC6">
        <w:rPr>
          <w:b/>
          <w:lang w:val="es-CO"/>
        </w:rPr>
        <w:t>Fecha de publicación del precio:</w:t>
      </w:r>
      <w:r>
        <w:rPr>
          <w:lang w:val="es-CO"/>
        </w:rPr>
        <w:t xml:space="preserve"> </w:t>
      </w:r>
      <w:r w:rsidR="00D708B3">
        <w:rPr>
          <w:lang w:val="es-CO"/>
        </w:rPr>
        <w:t xml:space="preserve">El precio entro en vigencia el </w:t>
      </w:r>
      <w:r>
        <w:rPr>
          <w:lang w:val="es-CO"/>
        </w:rPr>
        <w:t>19 de enero de 2012</w:t>
      </w:r>
      <w:r w:rsidR="00D708B3">
        <w:rPr>
          <w:lang w:val="es-CO"/>
        </w:rPr>
        <w:t xml:space="preserve"> y en el pie de </w:t>
      </w:r>
      <w:r w:rsidR="002A4FC6">
        <w:rPr>
          <w:lang w:val="es-CO"/>
        </w:rPr>
        <w:t>página</w:t>
      </w:r>
      <w:r w:rsidR="00D708B3">
        <w:rPr>
          <w:lang w:val="es-CO"/>
        </w:rPr>
        <w:t xml:space="preserve"> de la web se observa que los precios siguen vigentes hasta la fecha de la última actualización  23 de marzo de 2013</w:t>
      </w:r>
      <w:r>
        <w:rPr>
          <w:lang w:val="es-CO"/>
        </w:rPr>
        <w:t xml:space="preserve"> (ver documento anexo No. </w:t>
      </w:r>
      <w:r w:rsidR="00D46FF2">
        <w:rPr>
          <w:lang w:val="es-CO"/>
        </w:rPr>
        <w:t>1</w:t>
      </w:r>
      <w:r>
        <w:rPr>
          <w:lang w:val="es-CO"/>
        </w:rPr>
        <w:t>)</w:t>
      </w:r>
      <w:r w:rsidR="00D708B3">
        <w:rPr>
          <w:lang w:val="es-CO"/>
        </w:rPr>
        <w:t>. Adicionalmente</w:t>
      </w:r>
      <w:r w:rsidR="001326A5">
        <w:rPr>
          <w:lang w:val="es-CO"/>
        </w:rPr>
        <w:t>,</w:t>
      </w:r>
      <w:r w:rsidR="00D708B3">
        <w:rPr>
          <w:lang w:val="es-CO"/>
        </w:rPr>
        <w:t xml:space="preserve"> se adjunta correo electrónico del servicio de información del Ministerio de Salud de Ontario, donde ratifican que los precios publicados se encuentran vigentes (ver documento anexo </w:t>
      </w:r>
      <w:r w:rsidR="00D46FF2">
        <w:rPr>
          <w:lang w:val="es-CO"/>
        </w:rPr>
        <w:t>No. 2</w:t>
      </w:r>
      <w:r w:rsidR="00D708B3">
        <w:rPr>
          <w:lang w:val="es-CO"/>
        </w:rPr>
        <w:t>)</w:t>
      </w:r>
    </w:p>
    <w:p w:rsidR="008B5EED" w:rsidRDefault="008B5EED" w:rsidP="002A4FC6">
      <w:pPr>
        <w:jc w:val="both"/>
        <w:rPr>
          <w:lang w:val="es-CO"/>
        </w:rPr>
      </w:pPr>
      <w:r w:rsidRPr="002A4FC6">
        <w:rPr>
          <w:b/>
          <w:lang w:val="es-CO"/>
        </w:rPr>
        <w:t>Valor reportado:</w:t>
      </w:r>
      <w:r>
        <w:rPr>
          <w:lang w:val="es-CO"/>
        </w:rPr>
        <w:t xml:space="preserve"> valor unitario </w:t>
      </w:r>
      <w:r w:rsidR="006F4B5D">
        <w:rPr>
          <w:lang w:val="es-CO"/>
        </w:rPr>
        <w:t>46,0088</w:t>
      </w:r>
      <w:r>
        <w:rPr>
          <w:lang w:val="es-CO"/>
        </w:rPr>
        <w:t xml:space="preserve"> </w:t>
      </w:r>
      <w:r w:rsidR="006F4B5D">
        <w:rPr>
          <w:lang w:val="es-CO"/>
        </w:rPr>
        <w:t>dólares</w:t>
      </w:r>
      <w:r>
        <w:rPr>
          <w:lang w:val="es-CO"/>
        </w:rPr>
        <w:t xml:space="preserve"> canadienses (ver documento anexo No.</w:t>
      </w:r>
      <w:r w:rsidR="00D46FF2">
        <w:rPr>
          <w:lang w:val="es-CO"/>
        </w:rPr>
        <w:t>1</w:t>
      </w:r>
      <w:r>
        <w:rPr>
          <w:lang w:val="es-CO"/>
        </w:rPr>
        <w:t>)</w:t>
      </w:r>
    </w:p>
    <w:p w:rsidR="008B5EED" w:rsidRDefault="008B5EED" w:rsidP="002A4FC6">
      <w:pPr>
        <w:jc w:val="both"/>
        <w:rPr>
          <w:lang w:val="es-CO"/>
        </w:rPr>
      </w:pPr>
      <w:r w:rsidRPr="002A4FC6">
        <w:rPr>
          <w:b/>
          <w:lang w:val="es-CO"/>
        </w:rPr>
        <w:t>Tipo de precio:</w:t>
      </w:r>
      <w:r>
        <w:rPr>
          <w:lang w:val="es-CO"/>
        </w:rPr>
        <w:t xml:space="preserve"> Precio fabricante negociado por el Gobierno Provincial de Ontario </w:t>
      </w:r>
      <w:r w:rsidR="00D708B3">
        <w:rPr>
          <w:lang w:val="es-CO"/>
        </w:rPr>
        <w:t>con el Laboratorio Farmacéutico</w:t>
      </w:r>
      <w:r w:rsidR="00BE0937">
        <w:rPr>
          <w:lang w:val="es-CO"/>
        </w:rPr>
        <w:t>, denominado DBP o drug benefict Price. El documento anexo No.</w:t>
      </w:r>
      <w:r w:rsidR="00D46FF2">
        <w:rPr>
          <w:lang w:val="es-CO"/>
        </w:rPr>
        <w:t xml:space="preserve"> 3</w:t>
      </w:r>
      <w:r w:rsidR="00BE0937">
        <w:rPr>
          <w:lang w:val="es-CO"/>
        </w:rPr>
        <w:t xml:space="preserve"> vig</w:t>
      </w:r>
      <w:r w:rsidR="002A4FC6">
        <w:rPr>
          <w:lang w:val="es-CO"/>
        </w:rPr>
        <w:t>en</w:t>
      </w:r>
      <w:r w:rsidR="00BE0937">
        <w:rPr>
          <w:lang w:val="es-CO"/>
        </w:rPr>
        <w:t>te para el 31 de julio de 2013 muestra los márgenes autorizados en cada provincia, en el caso de Ontario se observa que el DBP no incluye el margen de mayorista, fijado en un 8%</w:t>
      </w:r>
    </w:p>
    <w:p w:rsidR="00D708B3" w:rsidRDefault="00D708B3" w:rsidP="002A4FC6">
      <w:pPr>
        <w:jc w:val="both"/>
        <w:rPr>
          <w:lang w:val="es-CO"/>
        </w:rPr>
      </w:pPr>
      <w:r w:rsidRPr="002A4FC6">
        <w:rPr>
          <w:b/>
          <w:lang w:val="es-CO"/>
        </w:rPr>
        <w:t>Modelo de pago:</w:t>
      </w:r>
      <w:r>
        <w:rPr>
          <w:lang w:val="es-CO"/>
        </w:rPr>
        <w:t xml:space="preserve"> Para efectos de establecer el factor de ajuste aplicable a Canada, se adjunta documento con las Politicas de Margenes aplicables a Ontario</w:t>
      </w:r>
      <w:r w:rsidR="00D46FF2">
        <w:rPr>
          <w:lang w:val="es-CO"/>
        </w:rPr>
        <w:t xml:space="preserve"> (Ver documento anexo No. 3</w:t>
      </w:r>
      <w:r w:rsidR="00BE0937">
        <w:rPr>
          <w:lang w:val="es-CO"/>
        </w:rPr>
        <w:t>)</w:t>
      </w:r>
    </w:p>
    <w:p w:rsidR="00D46FF2" w:rsidRDefault="00D46FF2" w:rsidP="002A4FC6">
      <w:pPr>
        <w:jc w:val="both"/>
        <w:rPr>
          <w:lang w:val="es-CO"/>
        </w:rPr>
      </w:pPr>
    </w:p>
    <w:p w:rsidR="002A4FC6" w:rsidRDefault="002A4FC6" w:rsidP="002A4FC6">
      <w:pPr>
        <w:jc w:val="both"/>
        <w:rPr>
          <w:lang w:val="es-CO"/>
        </w:rPr>
      </w:pPr>
    </w:p>
    <w:p w:rsidR="00FD3353" w:rsidRDefault="00FD3353" w:rsidP="002A4FC6">
      <w:pPr>
        <w:jc w:val="both"/>
        <w:rPr>
          <w:lang w:val="es-CO"/>
        </w:rPr>
      </w:pPr>
    </w:p>
    <w:p w:rsidR="00BE0937" w:rsidRPr="002A4FC6" w:rsidRDefault="00BE0937" w:rsidP="002A4FC6">
      <w:pPr>
        <w:pStyle w:val="Prrafodelista"/>
        <w:numPr>
          <w:ilvl w:val="0"/>
          <w:numId w:val="1"/>
        </w:numPr>
        <w:jc w:val="both"/>
        <w:rPr>
          <w:b/>
          <w:lang w:val="es-CO"/>
        </w:rPr>
      </w:pPr>
      <w:r w:rsidRPr="002A4FC6">
        <w:rPr>
          <w:b/>
          <w:lang w:val="es-CO"/>
        </w:rPr>
        <w:lastRenderedPageBreak/>
        <w:t>Ecuador:</w:t>
      </w:r>
    </w:p>
    <w:p w:rsidR="002A4FC6" w:rsidRPr="002A4FC6" w:rsidRDefault="002A4FC6" w:rsidP="002A4FC6">
      <w:pPr>
        <w:jc w:val="both"/>
        <w:rPr>
          <w:rFonts w:ascii="Verdana" w:eastAsia="Times New Roman" w:hAnsi="Verdana" w:cs="Times New Roman"/>
          <w:color w:val="000000"/>
          <w:sz w:val="18"/>
          <w:szCs w:val="18"/>
          <w:lang w:eastAsia="es-ES"/>
        </w:rPr>
      </w:pPr>
      <w:r w:rsidRPr="002A4FC6">
        <w:rPr>
          <w:b/>
          <w:lang w:val="es-CO"/>
        </w:rPr>
        <w:t>Solicitud:</w:t>
      </w:r>
      <w:r w:rsidRPr="002A4FC6">
        <w:rPr>
          <w:lang w:val="es-CO"/>
        </w:rPr>
        <w:t xml:space="preserve"> El grupo técnico asesor de la CNPM</w:t>
      </w:r>
      <w:r w:rsidR="00F537EB">
        <w:rPr>
          <w:lang w:val="es-CO"/>
        </w:rPr>
        <w:t>DM</w:t>
      </w:r>
      <w:r w:rsidRPr="002A4FC6">
        <w:rPr>
          <w:lang w:val="es-CO"/>
        </w:rPr>
        <w:t xml:space="preserve"> solicitaba una constancia del precio publicado para el producto Sorafenib en </w:t>
      </w:r>
      <w:r>
        <w:rPr>
          <w:lang w:val="es-CO"/>
        </w:rPr>
        <w:t>Ecuador.</w:t>
      </w:r>
    </w:p>
    <w:p w:rsidR="00BE0937" w:rsidRDefault="00BE0937" w:rsidP="002A4FC6">
      <w:pPr>
        <w:jc w:val="both"/>
        <w:rPr>
          <w:lang w:val="es-CO"/>
        </w:rPr>
      </w:pPr>
      <w:r w:rsidRPr="002A4FC6">
        <w:rPr>
          <w:b/>
          <w:lang w:val="es-CO"/>
        </w:rPr>
        <w:t xml:space="preserve">Producto: </w:t>
      </w:r>
      <w:r>
        <w:rPr>
          <w:lang w:val="es-CO"/>
        </w:rPr>
        <w:t>Sorafenib (Nexavar)</w:t>
      </w:r>
    </w:p>
    <w:p w:rsidR="00BE0937" w:rsidRDefault="00BE0937" w:rsidP="002A4FC6">
      <w:pPr>
        <w:jc w:val="both"/>
        <w:rPr>
          <w:lang w:val="es-CO"/>
        </w:rPr>
      </w:pPr>
      <w:r w:rsidRPr="002A4FC6">
        <w:rPr>
          <w:b/>
          <w:lang w:val="es-CO"/>
        </w:rPr>
        <w:t>Fecha de publicación del precio:</w:t>
      </w:r>
      <w:r>
        <w:rPr>
          <w:lang w:val="es-CO"/>
        </w:rPr>
        <w:t xml:space="preserve"> 31 de octubre de 2007 (ver documento anexo No. </w:t>
      </w:r>
      <w:r w:rsidR="00D46FF2">
        <w:rPr>
          <w:lang w:val="es-CO"/>
        </w:rPr>
        <w:t>4</w:t>
      </w:r>
      <w:r>
        <w:rPr>
          <w:lang w:val="es-CO"/>
        </w:rPr>
        <w:t xml:space="preserve">). </w:t>
      </w:r>
      <w:r w:rsidR="002A4FC6">
        <w:rPr>
          <w:lang w:val="es-CO"/>
        </w:rPr>
        <w:t>Adicionalmente</w:t>
      </w:r>
      <w:r>
        <w:rPr>
          <w:lang w:val="es-CO"/>
        </w:rPr>
        <w:t xml:space="preserve"> se adjunta correo electrónico </w:t>
      </w:r>
      <w:r w:rsidR="00D93FC5">
        <w:rPr>
          <w:lang w:val="es-CO"/>
        </w:rPr>
        <w:t xml:space="preserve">de la </w:t>
      </w:r>
      <w:r w:rsidR="00D93FC5" w:rsidRPr="00D93FC5">
        <w:rPr>
          <w:lang w:val="es-CO"/>
        </w:rPr>
        <w:t>Secretaria Técnica del Consejo Nacional</w:t>
      </w:r>
      <w:r w:rsidR="00D93FC5">
        <w:rPr>
          <w:lang w:val="es-CO"/>
        </w:rPr>
        <w:t xml:space="preserve"> </w:t>
      </w:r>
      <w:r w:rsidR="00D93FC5" w:rsidRPr="00D93FC5">
        <w:rPr>
          <w:lang w:val="es-CO"/>
        </w:rPr>
        <w:t>de Fijación y Revisión de Precios de</w:t>
      </w:r>
      <w:r w:rsidR="00D93FC5">
        <w:rPr>
          <w:lang w:val="es-CO"/>
        </w:rPr>
        <w:t xml:space="preserve"> </w:t>
      </w:r>
      <w:r w:rsidR="00D93FC5" w:rsidRPr="00D93FC5">
        <w:rPr>
          <w:lang w:val="es-CO"/>
        </w:rPr>
        <w:t>Medicamentos de Uso Humano</w:t>
      </w:r>
      <w:r w:rsidR="00D93FC5">
        <w:rPr>
          <w:lang w:val="es-CO"/>
        </w:rPr>
        <w:t xml:space="preserve">, en donde informa que la </w:t>
      </w:r>
      <w:r w:rsidR="00D93FC5">
        <w:rPr>
          <w:color w:val="000000"/>
        </w:rPr>
        <w:t>Caja x 60 comprimidos recubiertos  cuyo precio fue fijado el 11 de octubre de 2007 a un PVP presentación de  $3643,66 se encuentra vigente</w:t>
      </w:r>
      <w:r w:rsidR="00D46FF2">
        <w:rPr>
          <w:color w:val="000000"/>
        </w:rPr>
        <w:t xml:space="preserve"> (Ver documento anexo No. 5</w:t>
      </w:r>
      <w:r w:rsidR="00D93FC5">
        <w:rPr>
          <w:color w:val="000000"/>
        </w:rPr>
        <w:t>).</w:t>
      </w:r>
    </w:p>
    <w:p w:rsidR="00BE0937" w:rsidRDefault="00BE0937" w:rsidP="002A4FC6">
      <w:pPr>
        <w:jc w:val="both"/>
        <w:rPr>
          <w:lang w:val="es-CO"/>
        </w:rPr>
      </w:pPr>
      <w:r w:rsidRPr="006F4B5D">
        <w:rPr>
          <w:b/>
          <w:lang w:val="es-CO"/>
        </w:rPr>
        <w:t>Valor reportado:</w:t>
      </w:r>
      <w:r>
        <w:rPr>
          <w:lang w:val="es-CO"/>
        </w:rPr>
        <w:t xml:space="preserve"> </w:t>
      </w:r>
      <w:r w:rsidR="00D93FC5">
        <w:rPr>
          <w:lang w:val="es-CO"/>
        </w:rPr>
        <w:t xml:space="preserve">3.643,66 </w:t>
      </w:r>
      <w:r w:rsidR="00D46FF2">
        <w:rPr>
          <w:lang w:val="es-CO"/>
        </w:rPr>
        <w:t>dólares,</w:t>
      </w:r>
      <w:r w:rsidR="00D93FC5">
        <w:rPr>
          <w:lang w:val="es-CO"/>
        </w:rPr>
        <w:t xml:space="preserve"> precio de venta al consumidor</w:t>
      </w:r>
      <w:r>
        <w:rPr>
          <w:lang w:val="es-CO"/>
        </w:rPr>
        <w:t xml:space="preserve"> (ver documento anexo No.</w:t>
      </w:r>
      <w:r w:rsidR="00D46FF2">
        <w:rPr>
          <w:lang w:val="es-CO"/>
        </w:rPr>
        <w:t>4</w:t>
      </w:r>
      <w:r>
        <w:rPr>
          <w:lang w:val="es-CO"/>
        </w:rPr>
        <w:t>)</w:t>
      </w:r>
    </w:p>
    <w:p w:rsidR="00BE0937" w:rsidRDefault="00BE0937" w:rsidP="002A4FC6">
      <w:pPr>
        <w:jc w:val="both"/>
        <w:rPr>
          <w:lang w:val="es-CO"/>
        </w:rPr>
      </w:pPr>
      <w:r w:rsidRPr="006F4B5D">
        <w:rPr>
          <w:b/>
          <w:lang w:val="es-CO"/>
        </w:rPr>
        <w:t>Tipo de precio:</w:t>
      </w:r>
      <w:r>
        <w:rPr>
          <w:lang w:val="es-CO"/>
        </w:rPr>
        <w:t xml:space="preserve"> El precio reportado corresponde al precio de venta al consumidor</w:t>
      </w:r>
      <w:r w:rsidR="00D93FC5">
        <w:rPr>
          <w:lang w:val="es-CO"/>
        </w:rPr>
        <w:t>. Según la Ley Orgánica de Salud de 2006 en su Artículo 163</w:t>
      </w:r>
      <w:r w:rsidR="00D46FF2">
        <w:rPr>
          <w:lang w:val="es-CO"/>
        </w:rPr>
        <w:t xml:space="preserve"> (ver anexo No</w:t>
      </w:r>
      <w:r w:rsidR="00D46FF2" w:rsidRPr="006F4B5D">
        <w:rPr>
          <w:lang w:val="es-CO"/>
        </w:rPr>
        <w:t>. 6,</w:t>
      </w:r>
      <w:r w:rsidR="00D46FF2">
        <w:rPr>
          <w:lang w:val="es-CO"/>
        </w:rPr>
        <w:t xml:space="preserve"> página 17)</w:t>
      </w:r>
      <w:r w:rsidR="00D93FC5">
        <w:rPr>
          <w:lang w:val="es-CO"/>
        </w:rPr>
        <w:t xml:space="preserve"> establece que las instituciones públicas descontarán un porcentaje un porcentaje no inferior al 15% al precio de venta público para sus compras, por tanto el precio institucional de Nexavar en Ecuador (Precio de Venta Institucional) es de $US 51,61 por </w:t>
      </w:r>
      <w:r w:rsidR="00D46FF2">
        <w:rPr>
          <w:lang w:val="es-CO"/>
        </w:rPr>
        <w:t>comprimido (Presentación de 60 comprimidos)</w:t>
      </w:r>
    </w:p>
    <w:p w:rsidR="00D46FF2" w:rsidRPr="006F4B5D" w:rsidRDefault="00D46FF2" w:rsidP="002A4FC6">
      <w:pPr>
        <w:pStyle w:val="Prrafodelista"/>
        <w:numPr>
          <w:ilvl w:val="0"/>
          <w:numId w:val="1"/>
        </w:numPr>
        <w:jc w:val="both"/>
        <w:rPr>
          <w:b/>
          <w:lang w:val="es-CO"/>
        </w:rPr>
      </w:pPr>
      <w:r w:rsidRPr="006F4B5D">
        <w:rPr>
          <w:b/>
          <w:lang w:val="es-CO"/>
        </w:rPr>
        <w:t>Uruguay:</w:t>
      </w:r>
    </w:p>
    <w:p w:rsidR="00D46FF2" w:rsidRDefault="00D46FF2" w:rsidP="002A4FC6">
      <w:pPr>
        <w:jc w:val="both"/>
        <w:rPr>
          <w:lang w:val="es-CO"/>
        </w:rPr>
      </w:pPr>
      <w:r w:rsidRPr="006F4B5D">
        <w:rPr>
          <w:b/>
          <w:lang w:val="es-CO"/>
        </w:rPr>
        <w:t>Producto:</w:t>
      </w:r>
      <w:r>
        <w:rPr>
          <w:lang w:val="es-CO"/>
        </w:rPr>
        <w:t xml:space="preserve"> Sorafenib (Nexavar)</w:t>
      </w:r>
    </w:p>
    <w:p w:rsidR="00A11CC2" w:rsidRPr="00B22340" w:rsidRDefault="00A11CC2" w:rsidP="002A4FC6">
      <w:pPr>
        <w:jc w:val="both"/>
      </w:pPr>
      <w:r w:rsidRPr="006F4B5D">
        <w:rPr>
          <w:b/>
          <w:lang w:val="es-CO"/>
        </w:rPr>
        <w:t>Ruta:</w:t>
      </w:r>
      <w:r>
        <w:rPr>
          <w:lang w:val="es-CO"/>
        </w:rPr>
        <w:t xml:space="preserve"> </w:t>
      </w:r>
      <w:hyperlink r:id="rId6" w:history="1">
        <w:r w:rsidRPr="00B22340">
          <w:rPr>
            <w:rStyle w:val="Hipervnculo"/>
          </w:rPr>
          <w:t>http://uca.mef.gub.uy/portal/web/guest/llamado_m30_09</w:t>
        </w:r>
      </w:hyperlink>
    </w:p>
    <w:p w:rsidR="00D46FF2" w:rsidRDefault="00D46FF2" w:rsidP="002A4FC6">
      <w:pPr>
        <w:jc w:val="both"/>
        <w:rPr>
          <w:lang w:val="es-CO"/>
        </w:rPr>
      </w:pPr>
      <w:r w:rsidRPr="006F4B5D">
        <w:rPr>
          <w:b/>
          <w:lang w:val="es-CO"/>
        </w:rPr>
        <w:t>Fecha de publicación del precio:</w:t>
      </w:r>
      <w:r>
        <w:rPr>
          <w:lang w:val="es-CO"/>
        </w:rPr>
        <w:t xml:space="preserve"> 31 de enero de 2013 (ver documento anexo No. 7)</w:t>
      </w:r>
    </w:p>
    <w:p w:rsidR="00D46FF2" w:rsidRPr="00B22340" w:rsidRDefault="00D46FF2" w:rsidP="002A4FC6">
      <w:pPr>
        <w:jc w:val="both"/>
        <w:rPr>
          <w:lang w:val="pt-BR"/>
        </w:rPr>
      </w:pPr>
      <w:r w:rsidRPr="006F4B5D">
        <w:rPr>
          <w:b/>
          <w:lang w:val="pt-BR"/>
        </w:rPr>
        <w:t>Valor reportado:</w:t>
      </w:r>
      <w:r w:rsidRPr="00B22340">
        <w:rPr>
          <w:lang w:val="pt-BR"/>
        </w:rPr>
        <w:t xml:space="preserve"> 1097,75 pesos Uruguayos (ver documento anexo No.</w:t>
      </w:r>
      <w:r w:rsidR="006F4B5D">
        <w:rPr>
          <w:lang w:val="pt-BR"/>
        </w:rPr>
        <w:t xml:space="preserve"> </w:t>
      </w:r>
      <w:r w:rsidRPr="00B22340">
        <w:rPr>
          <w:lang w:val="pt-BR"/>
        </w:rPr>
        <w:t>8)</w:t>
      </w:r>
    </w:p>
    <w:p w:rsidR="00DC5EAF" w:rsidRDefault="00D46FF2" w:rsidP="002A4FC6">
      <w:pPr>
        <w:jc w:val="both"/>
        <w:rPr>
          <w:lang w:val="es-CO"/>
        </w:rPr>
      </w:pPr>
      <w:r w:rsidRPr="006F4B5D">
        <w:rPr>
          <w:b/>
          <w:lang w:val="es-CO"/>
        </w:rPr>
        <w:t xml:space="preserve">Tipo de precio: </w:t>
      </w:r>
      <w:r>
        <w:rPr>
          <w:lang w:val="es-CO"/>
        </w:rPr>
        <w:t xml:space="preserve">Precio de compra directo, entre el Fondo Nacional de Recursos y Bayer, quien vende Sorafenib (Nexavar), </w:t>
      </w:r>
      <w:r w:rsidR="00762A8C">
        <w:rPr>
          <w:lang w:val="es-CO"/>
        </w:rPr>
        <w:t>Interferón</w:t>
      </w:r>
      <w:r w:rsidR="00EA4EF3">
        <w:rPr>
          <w:lang w:val="es-CO"/>
        </w:rPr>
        <w:t xml:space="preserve"> Beta 1 B (Betaferon) e Iloprost (Ventavis)</w:t>
      </w:r>
      <w:r>
        <w:rPr>
          <w:lang w:val="es-CO"/>
        </w:rPr>
        <w:t xml:space="preserve"> de manera directa sin mediación de distribuidores a dicha entidad (Ver documento anexo No. 9 Constancia). </w:t>
      </w:r>
      <w:r w:rsidR="00DC5EAF">
        <w:rPr>
          <w:lang w:val="es-CO"/>
        </w:rPr>
        <w:t xml:space="preserve">Ver propuesta de factor ajuste aplicable en el apartado sobre este tema (numeral </w:t>
      </w:r>
      <w:r w:rsidR="009C2D7B">
        <w:rPr>
          <w:lang w:val="es-CO"/>
        </w:rPr>
        <w:t>III</w:t>
      </w:r>
      <w:r w:rsidR="00DC5EAF">
        <w:rPr>
          <w:lang w:val="es-CO"/>
        </w:rPr>
        <w:t>).</w:t>
      </w:r>
    </w:p>
    <w:p w:rsidR="00762A8C" w:rsidRDefault="00762A8C" w:rsidP="002A4FC6">
      <w:pPr>
        <w:jc w:val="both"/>
        <w:rPr>
          <w:b/>
          <w:lang w:val="es-CO"/>
        </w:rPr>
      </w:pPr>
    </w:p>
    <w:p w:rsidR="00DC5EAF" w:rsidRPr="00447A41" w:rsidRDefault="00DC5EAF" w:rsidP="002A4FC6">
      <w:pPr>
        <w:pStyle w:val="Prrafodelista"/>
        <w:numPr>
          <w:ilvl w:val="0"/>
          <w:numId w:val="2"/>
        </w:numPr>
        <w:jc w:val="both"/>
        <w:rPr>
          <w:b/>
          <w:lang w:val="es-CO"/>
        </w:rPr>
      </w:pPr>
      <w:r>
        <w:rPr>
          <w:b/>
          <w:lang w:val="es-CO"/>
        </w:rPr>
        <w:t xml:space="preserve">CORRECCION DE PRECIOS EN </w:t>
      </w:r>
      <w:r w:rsidR="00FD3353">
        <w:rPr>
          <w:b/>
          <w:lang w:val="es-CO"/>
        </w:rPr>
        <w:t>TRES</w:t>
      </w:r>
      <w:r w:rsidR="006F4B5D">
        <w:rPr>
          <w:b/>
          <w:lang w:val="es-CO"/>
        </w:rPr>
        <w:t xml:space="preserve"> (</w:t>
      </w:r>
      <w:r w:rsidR="006A0D59">
        <w:rPr>
          <w:b/>
          <w:lang w:val="es-CO"/>
        </w:rPr>
        <w:t>3</w:t>
      </w:r>
      <w:r w:rsidR="006F4B5D">
        <w:rPr>
          <w:b/>
          <w:lang w:val="es-CO"/>
        </w:rPr>
        <w:t>)</w:t>
      </w:r>
      <w:r>
        <w:rPr>
          <w:b/>
          <w:lang w:val="es-CO"/>
        </w:rPr>
        <w:t xml:space="preserve"> PAISES PARA INTE</w:t>
      </w:r>
      <w:r w:rsidR="00E82BF1">
        <w:rPr>
          <w:b/>
          <w:lang w:val="es-CO"/>
        </w:rPr>
        <w:t>R</w:t>
      </w:r>
      <w:r>
        <w:rPr>
          <w:b/>
          <w:lang w:val="es-CO"/>
        </w:rPr>
        <w:t>FERON BETA 1B</w:t>
      </w:r>
      <w:r w:rsidRPr="00447A41">
        <w:rPr>
          <w:b/>
          <w:lang w:val="es-CO"/>
        </w:rPr>
        <w:t>:</w:t>
      </w:r>
    </w:p>
    <w:p w:rsidR="00DC5EAF" w:rsidRDefault="00DC5EAF" w:rsidP="002A4FC6">
      <w:pPr>
        <w:pStyle w:val="Prrafodelista"/>
        <w:ind w:left="360"/>
        <w:jc w:val="both"/>
        <w:rPr>
          <w:lang w:val="es-CO"/>
        </w:rPr>
      </w:pPr>
    </w:p>
    <w:p w:rsidR="00A65961" w:rsidRPr="00041A9C" w:rsidRDefault="00A65961" w:rsidP="002A4FC6">
      <w:pPr>
        <w:pStyle w:val="Prrafodelista"/>
        <w:numPr>
          <w:ilvl w:val="0"/>
          <w:numId w:val="3"/>
        </w:numPr>
        <w:jc w:val="both"/>
        <w:rPr>
          <w:lang w:val="es-CO"/>
        </w:rPr>
      </w:pPr>
      <w:r>
        <w:rPr>
          <w:lang w:val="es-CO"/>
        </w:rPr>
        <w:t>Canadá – Provincia de Ontario</w:t>
      </w:r>
      <w:r w:rsidRPr="00041A9C">
        <w:rPr>
          <w:lang w:val="es-CO"/>
        </w:rPr>
        <w:t>:</w:t>
      </w:r>
    </w:p>
    <w:p w:rsidR="00A65961" w:rsidRDefault="00A65961" w:rsidP="002A4FC6">
      <w:pPr>
        <w:jc w:val="both"/>
        <w:rPr>
          <w:lang w:val="es-CO"/>
        </w:rPr>
      </w:pPr>
      <w:r>
        <w:rPr>
          <w:lang w:val="es-CO"/>
        </w:rPr>
        <w:t>Producto: Interferón Beta 1 B (Betaferon</w:t>
      </w:r>
      <w:r w:rsidR="006F4B5D">
        <w:rPr>
          <w:lang w:val="es-CO"/>
        </w:rPr>
        <w:t xml:space="preserve"> - Betaseron</w:t>
      </w:r>
      <w:r>
        <w:rPr>
          <w:lang w:val="es-CO"/>
        </w:rPr>
        <w:t>)</w:t>
      </w:r>
    </w:p>
    <w:p w:rsidR="006F4B5D" w:rsidRPr="008B5EED" w:rsidRDefault="006F4B5D" w:rsidP="006F4B5D">
      <w:pPr>
        <w:jc w:val="both"/>
        <w:rPr>
          <w:rFonts w:ascii="Verdana" w:eastAsia="Times New Roman" w:hAnsi="Verdana" w:cs="Times New Roman"/>
          <w:color w:val="000000"/>
          <w:sz w:val="18"/>
          <w:szCs w:val="18"/>
          <w:lang w:eastAsia="es-ES"/>
        </w:rPr>
      </w:pPr>
      <w:r w:rsidRPr="002A4FC6">
        <w:rPr>
          <w:b/>
          <w:lang w:val="es-CO"/>
        </w:rPr>
        <w:t>Fuente:</w:t>
      </w:r>
      <w:r>
        <w:rPr>
          <w:lang w:val="es-CO"/>
        </w:rPr>
        <w:t xml:space="preserve"> Precio publicado en la base de datos denominada </w:t>
      </w:r>
      <w:r w:rsidRPr="008B5EED">
        <w:rPr>
          <w:rFonts w:ascii="Verdana" w:eastAsia="Times New Roman" w:hAnsi="Verdana" w:cs="Times New Roman"/>
          <w:color w:val="000000"/>
          <w:sz w:val="18"/>
          <w:szCs w:val="18"/>
          <w:lang w:eastAsia="es-ES"/>
        </w:rPr>
        <w:t>Drug Benefit Formulary/Comparative Drug Index</w:t>
      </w:r>
      <w:r>
        <w:rPr>
          <w:rFonts w:ascii="Verdana" w:eastAsia="Times New Roman" w:hAnsi="Verdana" w:cs="Times New Roman"/>
          <w:color w:val="000000"/>
          <w:sz w:val="18"/>
          <w:szCs w:val="18"/>
          <w:lang w:eastAsia="es-ES"/>
        </w:rPr>
        <w:t xml:space="preserve"> de Ontario (Canadá) (Ver documento anexo No. 1 Ruta)</w:t>
      </w:r>
    </w:p>
    <w:p w:rsidR="006F4B5D" w:rsidRDefault="006F4B5D" w:rsidP="006F4B5D">
      <w:pPr>
        <w:jc w:val="both"/>
        <w:rPr>
          <w:lang w:val="es-CO"/>
        </w:rPr>
      </w:pPr>
      <w:r w:rsidRPr="002A4FC6">
        <w:rPr>
          <w:b/>
          <w:lang w:val="es-CO"/>
        </w:rPr>
        <w:t>Fecha de publicación del precio:</w:t>
      </w:r>
      <w:r>
        <w:rPr>
          <w:lang w:val="es-CO"/>
        </w:rPr>
        <w:t xml:space="preserve"> El precio entro en vigencia el 19 de enero de 2012 y en el pie de página de la web se observa que los precios siguen vigentes hasta la fecha de la última </w:t>
      </w:r>
      <w:r>
        <w:rPr>
          <w:lang w:val="es-CO"/>
        </w:rPr>
        <w:lastRenderedPageBreak/>
        <w:t>actualización  23 de marzo de 2013 (ver documento anexo No. 1). Adicionalmente se adjunta correo electrónico del servicio de información del Ministerio de Salud de Ontario, donde ratifican que los precios publicados se encuentran vigentes (ver documento anexo No. 2)</w:t>
      </w:r>
    </w:p>
    <w:p w:rsidR="006F4B5D" w:rsidRDefault="006F4B5D" w:rsidP="006F4B5D">
      <w:pPr>
        <w:jc w:val="both"/>
        <w:rPr>
          <w:lang w:val="es-CO"/>
        </w:rPr>
      </w:pPr>
      <w:r w:rsidRPr="002A4FC6">
        <w:rPr>
          <w:b/>
          <w:lang w:val="es-CO"/>
        </w:rPr>
        <w:t>Valor reportado:</w:t>
      </w:r>
      <w:r>
        <w:rPr>
          <w:lang w:val="es-CO"/>
        </w:rPr>
        <w:t xml:space="preserve"> valor unitario 110,00 dólares canadienses (ver documento anexo No.1)</w:t>
      </w:r>
    </w:p>
    <w:p w:rsidR="006F4B5D" w:rsidRDefault="006F4B5D" w:rsidP="006F4B5D">
      <w:pPr>
        <w:jc w:val="both"/>
        <w:rPr>
          <w:lang w:val="es-CO"/>
        </w:rPr>
      </w:pPr>
      <w:r w:rsidRPr="002A4FC6">
        <w:rPr>
          <w:b/>
          <w:lang w:val="es-CO"/>
        </w:rPr>
        <w:t>Tipo de precio:</w:t>
      </w:r>
      <w:r>
        <w:rPr>
          <w:lang w:val="es-CO"/>
        </w:rPr>
        <w:t xml:space="preserve"> Precio fabricante negociado por el Gobierno Provincial de Ontario con el Laboratorio Farmacéutico, denominado DBP o drug benefict Price. El documento anexo No. 3 vigente para el 31 de julio de 2013 muestra los márgenes autorizados en cada provincia, en el caso de Ontario se observa que el DBP no incluye el margen de mayorista, fijado en un 8%</w:t>
      </w:r>
    </w:p>
    <w:p w:rsidR="006F4B5D" w:rsidRDefault="006F4B5D" w:rsidP="006F4B5D">
      <w:pPr>
        <w:jc w:val="both"/>
        <w:rPr>
          <w:lang w:val="es-CO"/>
        </w:rPr>
      </w:pPr>
      <w:r w:rsidRPr="002A4FC6">
        <w:rPr>
          <w:b/>
          <w:lang w:val="es-CO"/>
        </w:rPr>
        <w:t>Modelo de pago:</w:t>
      </w:r>
      <w:r>
        <w:rPr>
          <w:lang w:val="es-CO"/>
        </w:rPr>
        <w:t xml:space="preserve"> Para efectos de establecer el factor de ajuste aplicable a Canadá, se adjunta documento con las Políticas de Márgenes aplicables a Ontario (Ver documento anexo No. 3)</w:t>
      </w:r>
    </w:p>
    <w:p w:rsidR="00DC5EAF" w:rsidRPr="00DC5EAF" w:rsidRDefault="006F4B5D" w:rsidP="002A4FC6">
      <w:pPr>
        <w:pStyle w:val="Default"/>
        <w:jc w:val="both"/>
        <w:rPr>
          <w:iCs/>
          <w:sz w:val="22"/>
          <w:szCs w:val="22"/>
        </w:rPr>
      </w:pPr>
      <w:r w:rsidRPr="00DC5EAF">
        <w:rPr>
          <w:iCs/>
          <w:sz w:val="22"/>
          <w:szCs w:val="22"/>
        </w:rPr>
        <w:t>Adicionalmente</w:t>
      </w:r>
      <w:r w:rsidR="00DC5EAF" w:rsidRPr="00DC5EAF">
        <w:rPr>
          <w:iCs/>
          <w:sz w:val="22"/>
          <w:szCs w:val="22"/>
        </w:rPr>
        <w:t>, am</w:t>
      </w:r>
      <w:r>
        <w:rPr>
          <w:iCs/>
          <w:sz w:val="22"/>
          <w:szCs w:val="22"/>
        </w:rPr>
        <w:t>paramos esta solicitud en la ac</w:t>
      </w:r>
      <w:r w:rsidR="00DC5EAF" w:rsidRPr="00DC5EAF">
        <w:rPr>
          <w:iCs/>
          <w:sz w:val="22"/>
          <w:szCs w:val="22"/>
        </w:rPr>
        <w:t>e</w:t>
      </w:r>
      <w:r>
        <w:rPr>
          <w:iCs/>
          <w:sz w:val="22"/>
          <w:szCs w:val="22"/>
        </w:rPr>
        <w:t>p</w:t>
      </w:r>
      <w:r w:rsidR="00DC5EAF" w:rsidRPr="00DC5EAF">
        <w:rPr>
          <w:iCs/>
          <w:sz w:val="22"/>
          <w:szCs w:val="22"/>
        </w:rPr>
        <w:t>tación hecha por la CNP</w:t>
      </w:r>
      <w:r w:rsidR="00F537EB">
        <w:rPr>
          <w:iCs/>
          <w:sz w:val="22"/>
          <w:szCs w:val="22"/>
        </w:rPr>
        <w:t>M</w:t>
      </w:r>
      <w:r>
        <w:rPr>
          <w:iCs/>
          <w:sz w:val="22"/>
          <w:szCs w:val="22"/>
        </w:rPr>
        <w:t>DM</w:t>
      </w:r>
      <w:r w:rsidR="00DC5EAF" w:rsidRPr="00DC5EAF">
        <w:rPr>
          <w:iCs/>
          <w:sz w:val="22"/>
          <w:szCs w:val="22"/>
        </w:rPr>
        <w:t xml:space="preserve"> a l</w:t>
      </w:r>
      <w:r w:rsidR="00424A05" w:rsidRPr="00DC5EAF">
        <w:rPr>
          <w:iCs/>
          <w:sz w:val="22"/>
          <w:szCs w:val="22"/>
        </w:rPr>
        <w:t>a so</w:t>
      </w:r>
      <w:r w:rsidR="00DC5EAF" w:rsidRPr="00DC5EAF">
        <w:rPr>
          <w:iCs/>
          <w:sz w:val="22"/>
          <w:szCs w:val="22"/>
        </w:rPr>
        <w:t>l</w:t>
      </w:r>
      <w:r w:rsidR="00424A05" w:rsidRPr="00DC5EAF">
        <w:rPr>
          <w:iCs/>
          <w:sz w:val="22"/>
          <w:szCs w:val="22"/>
        </w:rPr>
        <w:t xml:space="preserve">icitud presentada por Alexion </w:t>
      </w:r>
      <w:r w:rsidR="00AF436C" w:rsidRPr="00DC5EAF">
        <w:rPr>
          <w:iCs/>
          <w:sz w:val="22"/>
          <w:szCs w:val="22"/>
        </w:rPr>
        <w:t xml:space="preserve">(respuesta 7 numeral 1) </w:t>
      </w:r>
      <w:r w:rsidR="00DC5EAF" w:rsidRPr="00DC5EAF">
        <w:rPr>
          <w:iCs/>
          <w:sz w:val="22"/>
          <w:szCs w:val="22"/>
        </w:rPr>
        <w:t xml:space="preserve">que menciona: </w:t>
      </w:r>
    </w:p>
    <w:p w:rsidR="00DC5EAF" w:rsidRDefault="00DC5EAF" w:rsidP="002A4FC6">
      <w:pPr>
        <w:pStyle w:val="Default"/>
        <w:jc w:val="both"/>
        <w:rPr>
          <w:i/>
          <w:iCs/>
          <w:sz w:val="22"/>
          <w:szCs w:val="22"/>
        </w:rPr>
      </w:pPr>
    </w:p>
    <w:p w:rsidR="00424A05" w:rsidRDefault="00DC5EAF" w:rsidP="002A4FC6">
      <w:pPr>
        <w:pStyle w:val="Default"/>
        <w:ind w:left="708"/>
        <w:jc w:val="both"/>
        <w:rPr>
          <w:sz w:val="22"/>
          <w:szCs w:val="22"/>
        </w:rPr>
      </w:pPr>
      <w:r>
        <w:rPr>
          <w:i/>
          <w:iCs/>
          <w:sz w:val="22"/>
          <w:szCs w:val="22"/>
        </w:rPr>
        <w:t>“</w:t>
      </w:r>
      <w:r w:rsidR="00424A05">
        <w:rPr>
          <w:i/>
          <w:iCs/>
          <w:sz w:val="22"/>
          <w:szCs w:val="22"/>
        </w:rPr>
        <w:t>Canadá</w:t>
      </w:r>
      <w:r>
        <w:rPr>
          <w:i/>
          <w:iCs/>
          <w:sz w:val="22"/>
          <w:szCs w:val="22"/>
        </w:rPr>
        <w:t xml:space="preserve">: </w:t>
      </w:r>
      <w:r w:rsidR="00424A05">
        <w:rPr>
          <w:sz w:val="22"/>
          <w:szCs w:val="22"/>
        </w:rPr>
        <w:t>Se valida y se acepta la fuente Ontario, Drug Benefit Formulary Exceptional Acces Program, dado que es una fuente oficial y accesible, ésta fue incluida en los cálculos.</w:t>
      </w:r>
      <w:r>
        <w:rPr>
          <w:sz w:val="22"/>
          <w:szCs w:val="22"/>
        </w:rPr>
        <w:t>”</w:t>
      </w:r>
      <w:r w:rsidR="00424A05">
        <w:rPr>
          <w:sz w:val="22"/>
          <w:szCs w:val="22"/>
        </w:rPr>
        <w:t xml:space="preserve"> </w:t>
      </w:r>
    </w:p>
    <w:p w:rsidR="00424A05" w:rsidRDefault="00424A05" w:rsidP="002A4FC6">
      <w:pPr>
        <w:jc w:val="both"/>
        <w:rPr>
          <w:lang w:val="es-CO"/>
        </w:rPr>
      </w:pPr>
    </w:p>
    <w:p w:rsidR="0073717D" w:rsidRDefault="0073717D" w:rsidP="002A4FC6">
      <w:pPr>
        <w:pStyle w:val="Prrafodelista"/>
        <w:numPr>
          <w:ilvl w:val="0"/>
          <w:numId w:val="3"/>
        </w:numPr>
        <w:jc w:val="both"/>
        <w:rPr>
          <w:b/>
          <w:lang w:val="es-CO"/>
        </w:rPr>
      </w:pPr>
      <w:r>
        <w:rPr>
          <w:b/>
          <w:lang w:val="es-CO"/>
        </w:rPr>
        <w:t>Corrección de</w:t>
      </w:r>
      <w:r w:rsidR="00F537EB">
        <w:rPr>
          <w:b/>
          <w:lang w:val="es-CO"/>
        </w:rPr>
        <w:t>l</w:t>
      </w:r>
      <w:r>
        <w:rPr>
          <w:b/>
          <w:lang w:val="es-CO"/>
        </w:rPr>
        <w:t xml:space="preserve"> Factor de Ajuste de Francia</w:t>
      </w:r>
    </w:p>
    <w:p w:rsidR="0073717D" w:rsidRDefault="0073717D" w:rsidP="002A4FC6">
      <w:pPr>
        <w:pStyle w:val="Default"/>
        <w:ind w:left="360"/>
        <w:jc w:val="both"/>
        <w:rPr>
          <w:sz w:val="22"/>
          <w:szCs w:val="22"/>
        </w:rPr>
      </w:pPr>
      <w:r>
        <w:rPr>
          <w:sz w:val="22"/>
          <w:szCs w:val="22"/>
        </w:rPr>
        <w:t>En el documento de la CNP</w:t>
      </w:r>
      <w:r w:rsidR="00F537EB">
        <w:rPr>
          <w:sz w:val="22"/>
          <w:szCs w:val="22"/>
        </w:rPr>
        <w:t>M</w:t>
      </w:r>
      <w:r>
        <w:rPr>
          <w:sz w:val="22"/>
          <w:szCs w:val="22"/>
        </w:rPr>
        <w:t xml:space="preserve">DM titulado respuesta a comentarios/solicitudes recibidos durante proceso de consulta -proyecto de circular 04 de 2013- se estipula: </w:t>
      </w:r>
    </w:p>
    <w:p w:rsidR="0073717D" w:rsidRDefault="0073717D" w:rsidP="002A4FC6">
      <w:pPr>
        <w:pStyle w:val="Default"/>
        <w:ind w:left="360"/>
        <w:jc w:val="both"/>
        <w:rPr>
          <w:sz w:val="22"/>
          <w:szCs w:val="22"/>
        </w:rPr>
      </w:pPr>
    </w:p>
    <w:p w:rsidR="0073717D" w:rsidRPr="0073717D" w:rsidRDefault="0073717D" w:rsidP="002A4FC6">
      <w:pPr>
        <w:pStyle w:val="Default"/>
        <w:ind w:left="708"/>
        <w:jc w:val="both"/>
        <w:rPr>
          <w:sz w:val="20"/>
          <w:szCs w:val="22"/>
        </w:rPr>
      </w:pPr>
      <w:r w:rsidRPr="0073717D">
        <w:rPr>
          <w:sz w:val="20"/>
          <w:szCs w:val="22"/>
        </w:rPr>
        <w:t>“Frente a Francia, es explícito, como puede verse en la base de datos “Márgenes para Factores de Ajuste”, que en las transacciones en el punto mayorista en ese país no se reconoce ningún margen a los medicamentos con un valor superior a los $400 Euros. “</w:t>
      </w:r>
      <w:r w:rsidRPr="0073717D">
        <w:rPr>
          <w:sz w:val="20"/>
          <w:szCs w:val="22"/>
          <w:u w:val="single"/>
        </w:rPr>
        <w:t>En este caso la Comisión instruyó al GT incluir un margen del 5,14% para Francia, el cual se aplica, en la Circular 04, a todos los medicamentos regulados que tienen como fuente dicho país y que valen más de $400 Euros</w:t>
      </w:r>
      <w:r>
        <w:rPr>
          <w:sz w:val="20"/>
          <w:szCs w:val="22"/>
          <w:u w:val="single"/>
        </w:rPr>
        <w:t>.</w:t>
      </w:r>
      <w:r>
        <w:rPr>
          <w:sz w:val="20"/>
          <w:szCs w:val="22"/>
        </w:rPr>
        <w:t>”(Subrayado nuestro).</w:t>
      </w:r>
      <w:r w:rsidRPr="0073717D">
        <w:rPr>
          <w:sz w:val="20"/>
          <w:szCs w:val="22"/>
        </w:rPr>
        <w:t xml:space="preserve"> </w:t>
      </w:r>
    </w:p>
    <w:p w:rsidR="0073717D" w:rsidRDefault="0073717D" w:rsidP="002A4FC6">
      <w:pPr>
        <w:pStyle w:val="Prrafodelista"/>
        <w:ind w:left="360"/>
        <w:jc w:val="both"/>
      </w:pPr>
    </w:p>
    <w:p w:rsidR="0073717D" w:rsidRDefault="0073717D" w:rsidP="002A4FC6">
      <w:pPr>
        <w:pStyle w:val="Prrafodelista"/>
        <w:ind w:left="360"/>
        <w:jc w:val="both"/>
      </w:pPr>
      <w:r>
        <w:t xml:space="preserve">En Colombia las presentaciones comerciales vendidas por Bayer Colombia  para </w:t>
      </w:r>
      <w:r w:rsidR="00F537EB">
        <w:rPr>
          <w:lang w:val="es-CO"/>
        </w:rPr>
        <w:t>Sorafenib (Nexavar), Interferón Beta 1 B (Betaferon) e Iloprost (Ventavis)</w:t>
      </w:r>
      <w:r>
        <w:t xml:space="preserve"> tienen un precio superior a 400 Euros (ver SISMED), por tal razón solicitamos de manera atenta se corrija el factor de ajuste de Francia para el producto Betaferon y Nexavar a 5,14% (bajo el entendido que esta solicitud implicaría reducir el margen asignado por la CNP</w:t>
      </w:r>
      <w:r w:rsidR="00F537EB">
        <w:t>MDM</w:t>
      </w:r>
      <w:r>
        <w:t xml:space="preserve"> en el primer producto de 5,57%) </w:t>
      </w:r>
    </w:p>
    <w:p w:rsidR="0073717D" w:rsidRDefault="0073717D" w:rsidP="002A4FC6">
      <w:pPr>
        <w:pStyle w:val="Prrafodelista"/>
        <w:ind w:left="360"/>
        <w:jc w:val="both"/>
      </w:pPr>
    </w:p>
    <w:p w:rsidR="001326A5" w:rsidRDefault="001326A5" w:rsidP="001326A5">
      <w:pPr>
        <w:pStyle w:val="Prrafodelista"/>
        <w:numPr>
          <w:ilvl w:val="0"/>
          <w:numId w:val="3"/>
        </w:numPr>
        <w:jc w:val="both"/>
        <w:rPr>
          <w:b/>
          <w:lang w:val="es-CO"/>
        </w:rPr>
      </w:pPr>
      <w:r>
        <w:rPr>
          <w:b/>
          <w:lang w:val="es-CO"/>
        </w:rPr>
        <w:t>Corrección del Precio Noruega (Sorafenib, Interferón Beta 1 B y Nexavar)</w:t>
      </w:r>
    </w:p>
    <w:p w:rsidR="001326A5" w:rsidRDefault="001326A5" w:rsidP="001326A5">
      <w:pPr>
        <w:jc w:val="both"/>
        <w:rPr>
          <w:lang w:val="es-CO"/>
        </w:rPr>
      </w:pPr>
      <w:r w:rsidRPr="00C60527">
        <w:rPr>
          <w:lang w:val="es-CO"/>
        </w:rPr>
        <w:t>En el documento adjunto se presenta los precios para Noruega</w:t>
      </w:r>
      <w:r w:rsidR="00C60527" w:rsidRPr="00C60527">
        <w:rPr>
          <w:lang w:val="es-CO"/>
        </w:rPr>
        <w:t xml:space="preserve"> (Ver docu</w:t>
      </w:r>
      <w:r w:rsidR="00C60527">
        <w:rPr>
          <w:lang w:val="es-CO"/>
        </w:rPr>
        <w:t>mento anexo 12</w:t>
      </w:r>
      <w:r w:rsidR="00C60527" w:rsidRPr="00C60527">
        <w:rPr>
          <w:lang w:val="es-CO"/>
        </w:rPr>
        <w:t>)</w:t>
      </w:r>
    </w:p>
    <w:p w:rsidR="0073717D" w:rsidRPr="001326A5" w:rsidRDefault="0073717D" w:rsidP="002A4FC6">
      <w:pPr>
        <w:pStyle w:val="Prrafodelista"/>
        <w:ind w:left="360"/>
        <w:jc w:val="both"/>
        <w:rPr>
          <w:lang w:val="es-CO"/>
        </w:rPr>
      </w:pPr>
    </w:p>
    <w:p w:rsidR="00041A9C" w:rsidRPr="00447A41" w:rsidRDefault="00DC5EAF" w:rsidP="002A4FC6">
      <w:pPr>
        <w:pStyle w:val="Prrafodelista"/>
        <w:numPr>
          <w:ilvl w:val="0"/>
          <w:numId w:val="3"/>
        </w:numPr>
        <w:jc w:val="both"/>
        <w:rPr>
          <w:b/>
          <w:lang w:val="es-CO"/>
        </w:rPr>
      </w:pPr>
      <w:r>
        <w:rPr>
          <w:b/>
          <w:lang w:val="es-CO"/>
        </w:rPr>
        <w:t>Factores de Ajuste para Países con Compra Directa a Bayer</w:t>
      </w:r>
      <w:r w:rsidR="00447A41" w:rsidRPr="00447A41">
        <w:rPr>
          <w:b/>
          <w:lang w:val="es-CO"/>
        </w:rPr>
        <w:t>:</w:t>
      </w:r>
      <w:r w:rsidR="00B22340">
        <w:rPr>
          <w:b/>
          <w:lang w:val="es-CO"/>
        </w:rPr>
        <w:t xml:space="preserve"> Chile, Uruguay y Portugal</w:t>
      </w:r>
    </w:p>
    <w:p w:rsidR="0073717D" w:rsidRPr="0073717D" w:rsidRDefault="0073717D" w:rsidP="002A4FC6">
      <w:pPr>
        <w:pStyle w:val="Prrafodelista"/>
        <w:ind w:left="360"/>
        <w:jc w:val="both"/>
        <w:rPr>
          <w:lang w:val="es-CO"/>
        </w:rPr>
      </w:pPr>
    </w:p>
    <w:p w:rsidR="0073717D" w:rsidRPr="00B22340" w:rsidRDefault="0073717D" w:rsidP="002A4FC6">
      <w:pPr>
        <w:pStyle w:val="Prrafodelista"/>
        <w:ind w:left="360"/>
        <w:jc w:val="both"/>
        <w:rPr>
          <w:highlight w:val="yellow"/>
        </w:rPr>
      </w:pPr>
      <w:r w:rsidRPr="002C1DC4">
        <w:t>De acuerdo con los documentos referenciados por la Comisión Nacional de Precios y con las certificaciones adj</w:t>
      </w:r>
      <w:r w:rsidR="00B22340" w:rsidRPr="002C1DC4">
        <w:t>untas,</w:t>
      </w:r>
      <w:r w:rsidR="002C1DC4">
        <w:t xml:space="preserve"> correspondientes a</w:t>
      </w:r>
      <w:r w:rsidR="00B22340" w:rsidRPr="002C1DC4">
        <w:t xml:space="preserve"> </w:t>
      </w:r>
      <w:r w:rsidR="002C1DC4" w:rsidRPr="002C1DC4">
        <w:t xml:space="preserve">Uruguay, </w:t>
      </w:r>
      <w:r w:rsidR="00B22340" w:rsidRPr="002C1DC4">
        <w:t>Chile y Portugal (</w:t>
      </w:r>
      <w:r w:rsidRPr="002C1DC4">
        <w:t xml:space="preserve">ver documentos </w:t>
      </w:r>
      <w:r w:rsidRPr="002C1DC4">
        <w:lastRenderedPageBreak/>
        <w:t xml:space="preserve">anexos </w:t>
      </w:r>
      <w:r w:rsidR="002C1DC4" w:rsidRPr="002C1DC4">
        <w:t>9, 10 y 11</w:t>
      </w:r>
      <w:r w:rsidRPr="002C1DC4">
        <w:t>)</w:t>
      </w:r>
      <w:r w:rsidR="002C1DC4">
        <w:t>,</w:t>
      </w:r>
      <w:r w:rsidRPr="002C1DC4">
        <w:t xml:space="preserve"> Bayer </w:t>
      </w:r>
      <w:r w:rsidR="002C1DC4">
        <w:t>realiza</w:t>
      </w:r>
      <w:r w:rsidRPr="002C1DC4">
        <w:t xml:space="preserve"> venta directa, mediante licitaciones públicas,</w:t>
      </w:r>
      <w:r>
        <w:t xml:space="preserve"> sin que exista la mediación de un distribuidor, bien sea a un comprador único centralizado o a un número reducido de hospitales públicos, con un número muy pequeño de pedidos y por lo general se encuentran en un número limitado de centros urbanos con facilidades de acceso geográfico. </w:t>
      </w:r>
    </w:p>
    <w:p w:rsidR="0073717D" w:rsidRDefault="0073717D" w:rsidP="002A4FC6">
      <w:pPr>
        <w:pStyle w:val="Prrafodelista"/>
        <w:ind w:left="360"/>
        <w:jc w:val="both"/>
      </w:pPr>
    </w:p>
    <w:p w:rsidR="0073717D" w:rsidRDefault="0073717D" w:rsidP="002A4FC6">
      <w:pPr>
        <w:pStyle w:val="Prrafodelista"/>
        <w:ind w:left="360"/>
        <w:jc w:val="both"/>
      </w:pPr>
      <w:r>
        <w:t xml:space="preserve">En Colombia, en cambio, Bayer vende </w:t>
      </w:r>
      <w:r w:rsidR="002C1DC4">
        <w:rPr>
          <w:lang w:val="es-CO"/>
        </w:rPr>
        <w:t>Sorafenib (Nexavar), Interferón Beta 1 B (Betaferon) e Iloprost (Ventavis)</w:t>
      </w:r>
      <w:r>
        <w:t xml:space="preserve"> a un volumen significativo de clientes (entre 41 y 50, según el producto), que demandan un volumen muy alto de pedidos (entre 663 y 1389 en un año) y de manera atomizada (promedio entre 5 y 13 unidades de producto por pedido), los cuales deben ser despachados a las bodegas que tienen estos distribuidores en las distintas ciudades de país (</w:t>
      </w:r>
      <w:r w:rsidR="002C1DC4">
        <w:t xml:space="preserve">ver </w:t>
      </w:r>
      <w:r>
        <w:t xml:space="preserve">tabla 1). Adicionalmente, debido a la desconcentración de pacientes en más </w:t>
      </w:r>
      <w:r w:rsidR="002C1DC4">
        <w:t xml:space="preserve">de </w:t>
      </w:r>
      <w:r>
        <w:t xml:space="preserve">44 EPS y múltiples entes territoriales, las dificultades de acceso geográfico y cultural incrementan la necesidad de brindar servicios de apoyo a los pacientes en educación de su enfermedad, seguimiento de adherencia y procesos administrativos. Todas estas situaciones generan una diferencia de costos importantes para Bayer Colombia, que no se presentan en otros países, debido solamente a la diferencia en el modelo </w:t>
      </w:r>
      <w:r w:rsidR="002C1DC4">
        <w:t xml:space="preserve">de </w:t>
      </w:r>
      <w:r>
        <w:t>distribución (ver tabla 2</w:t>
      </w:r>
      <w:r w:rsidR="00D1206E">
        <w:t>)</w:t>
      </w:r>
      <w:r>
        <w:t xml:space="preserve"> </w:t>
      </w:r>
    </w:p>
    <w:p w:rsidR="0073717D" w:rsidRDefault="0073717D" w:rsidP="002A4FC6">
      <w:pPr>
        <w:pStyle w:val="Prrafodelista"/>
        <w:ind w:left="360"/>
        <w:jc w:val="both"/>
      </w:pPr>
    </w:p>
    <w:p w:rsidR="0073717D" w:rsidRDefault="0073717D" w:rsidP="002C1DC4">
      <w:pPr>
        <w:pStyle w:val="Prrafodelista"/>
        <w:ind w:left="360"/>
        <w:jc w:val="center"/>
      </w:pPr>
      <w:r>
        <w:t xml:space="preserve">Tabla 1. </w:t>
      </w:r>
      <w:r w:rsidR="002C1DC4">
        <w:t>Cantidad de pedidos, clientes y unidades solicitadas por orden. Año 2012. Bayer Colombia</w:t>
      </w:r>
    </w:p>
    <w:p w:rsidR="002C1DC4" w:rsidRDefault="002C1DC4" w:rsidP="002C1DC4">
      <w:pPr>
        <w:pStyle w:val="Prrafodelista"/>
        <w:ind w:left="360"/>
        <w:jc w:val="center"/>
      </w:pPr>
    </w:p>
    <w:p w:rsidR="0073717D" w:rsidRDefault="0073717D" w:rsidP="00D1206E">
      <w:pPr>
        <w:pStyle w:val="Prrafodelista"/>
        <w:ind w:left="360"/>
        <w:jc w:val="center"/>
      </w:pPr>
      <w:r w:rsidRPr="00613600">
        <w:rPr>
          <w:noProof/>
          <w:lang w:eastAsia="es-ES"/>
        </w:rPr>
        <w:drawing>
          <wp:inline distT="0" distB="0" distL="0" distR="0" wp14:anchorId="0E435F71" wp14:editId="49B13CD4">
            <wp:extent cx="4987126" cy="1871345"/>
            <wp:effectExtent l="0" t="0" r="444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2518" cy="1873368"/>
                    </a:xfrm>
                    <a:prstGeom prst="rect">
                      <a:avLst/>
                    </a:prstGeom>
                    <a:noFill/>
                    <a:ln>
                      <a:noFill/>
                    </a:ln>
                  </pic:spPr>
                </pic:pic>
              </a:graphicData>
            </a:graphic>
          </wp:inline>
        </w:drawing>
      </w:r>
    </w:p>
    <w:p w:rsidR="0073717D" w:rsidRDefault="0073717D" w:rsidP="002A4FC6">
      <w:pPr>
        <w:pStyle w:val="Prrafodelista"/>
        <w:ind w:left="360"/>
        <w:jc w:val="both"/>
      </w:pPr>
    </w:p>
    <w:p w:rsidR="00D1206E" w:rsidRDefault="00D1206E" w:rsidP="0066070C">
      <w:pPr>
        <w:pStyle w:val="Prrafodelista"/>
        <w:ind w:left="360"/>
        <w:jc w:val="center"/>
      </w:pPr>
      <w:r>
        <w:t xml:space="preserve">Tabla 2. </w:t>
      </w:r>
      <w:r w:rsidRPr="00D1206E">
        <w:t xml:space="preserve">Estimación de costos administrativos en el escenario de operar bajo un modelo de </w:t>
      </w:r>
      <w:r w:rsidR="0066070C">
        <w:t>venta Colombia vs venta directa concentrada</w:t>
      </w:r>
      <w:r>
        <w:t>. Cálculos propios Bayer Colombia.</w:t>
      </w:r>
    </w:p>
    <w:p w:rsidR="0066070C" w:rsidRDefault="0066070C" w:rsidP="002A4FC6">
      <w:pPr>
        <w:pStyle w:val="Prrafodelista"/>
        <w:ind w:left="360"/>
        <w:jc w:val="both"/>
      </w:pPr>
    </w:p>
    <w:tbl>
      <w:tblPr>
        <w:tblW w:w="0" w:type="auto"/>
        <w:jc w:val="center"/>
        <w:tblCellMar>
          <w:left w:w="70" w:type="dxa"/>
          <w:right w:w="70" w:type="dxa"/>
        </w:tblCellMar>
        <w:tblLook w:val="04A0" w:firstRow="1" w:lastRow="0" w:firstColumn="1" w:lastColumn="0" w:noHBand="0" w:noVBand="1"/>
      </w:tblPr>
      <w:tblGrid>
        <w:gridCol w:w="2347"/>
        <w:gridCol w:w="808"/>
        <w:gridCol w:w="808"/>
        <w:gridCol w:w="808"/>
        <w:gridCol w:w="780"/>
      </w:tblGrid>
      <w:tr w:rsidR="0066070C" w:rsidRPr="0066070C" w:rsidTr="0066070C">
        <w:trPr>
          <w:trHeight w:val="300"/>
          <w:jc w:val="center"/>
        </w:trPr>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single" w:sz="4" w:space="0" w:color="auto"/>
              <w:left w:val="single" w:sz="4" w:space="0" w:color="auto"/>
              <w:bottom w:val="single" w:sz="4" w:space="0" w:color="auto"/>
              <w:right w:val="nil"/>
            </w:tcBorders>
            <w:shd w:val="clear" w:color="auto" w:fill="auto"/>
            <w:noWrap/>
            <w:vAlign w:val="bottom"/>
            <w:hideMark/>
          </w:tcPr>
          <w:p w:rsidR="0066070C" w:rsidRPr="0066070C" w:rsidRDefault="0066070C" w:rsidP="0066070C">
            <w:pPr>
              <w:spacing w:after="0" w:line="240" w:lineRule="auto"/>
              <w:jc w:val="center"/>
              <w:rPr>
                <w:rFonts w:ascii="Arial" w:eastAsia="Times New Roman" w:hAnsi="Arial" w:cs="Arial"/>
                <w:b/>
                <w:bCs/>
                <w:color w:val="000000"/>
                <w:sz w:val="10"/>
                <w:lang w:eastAsia="es-ES"/>
              </w:rPr>
            </w:pPr>
            <w:r w:rsidRPr="0066070C">
              <w:rPr>
                <w:rFonts w:ascii="Arial" w:eastAsia="Times New Roman" w:hAnsi="Arial" w:cs="Arial"/>
                <w:b/>
                <w:bCs/>
                <w:color w:val="000000"/>
                <w:sz w:val="10"/>
                <w:lang w:eastAsia="es-ES"/>
              </w:rPr>
              <w:t>BETAFERON</w:t>
            </w:r>
          </w:p>
        </w:tc>
        <w:tc>
          <w:tcPr>
            <w:tcW w:w="0" w:type="auto"/>
            <w:tcBorders>
              <w:top w:val="single" w:sz="4" w:space="0" w:color="auto"/>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center"/>
              <w:rPr>
                <w:rFonts w:ascii="Arial" w:eastAsia="Times New Roman" w:hAnsi="Arial" w:cs="Arial"/>
                <w:b/>
                <w:bCs/>
                <w:color w:val="000000"/>
                <w:sz w:val="10"/>
                <w:lang w:eastAsia="es-ES"/>
              </w:rPr>
            </w:pPr>
            <w:r w:rsidRPr="0066070C">
              <w:rPr>
                <w:rFonts w:ascii="Arial" w:eastAsia="Times New Roman" w:hAnsi="Arial" w:cs="Arial"/>
                <w:b/>
                <w:bCs/>
                <w:color w:val="000000"/>
                <w:sz w:val="10"/>
                <w:lang w:eastAsia="es-ES"/>
              </w:rPr>
              <w:t>NEXAVAR</w:t>
            </w:r>
          </w:p>
        </w:tc>
        <w:tc>
          <w:tcPr>
            <w:tcW w:w="0" w:type="auto"/>
            <w:tcBorders>
              <w:top w:val="single" w:sz="4" w:space="0" w:color="auto"/>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center"/>
              <w:rPr>
                <w:rFonts w:ascii="Arial" w:eastAsia="Times New Roman" w:hAnsi="Arial" w:cs="Arial"/>
                <w:b/>
                <w:bCs/>
                <w:color w:val="000000"/>
                <w:sz w:val="10"/>
                <w:lang w:eastAsia="es-ES"/>
              </w:rPr>
            </w:pPr>
            <w:r w:rsidRPr="0066070C">
              <w:rPr>
                <w:rFonts w:ascii="Arial" w:eastAsia="Times New Roman" w:hAnsi="Arial" w:cs="Arial"/>
                <w:b/>
                <w:bCs/>
                <w:color w:val="000000"/>
                <w:sz w:val="10"/>
                <w:lang w:eastAsia="es-ES"/>
              </w:rPr>
              <w:t>VENTAVIS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66070C" w:rsidRPr="0066070C" w:rsidRDefault="0066070C" w:rsidP="0066070C">
            <w:pPr>
              <w:spacing w:after="0" w:line="240" w:lineRule="auto"/>
              <w:jc w:val="center"/>
              <w:rPr>
                <w:rFonts w:ascii="Arial" w:eastAsia="Times New Roman" w:hAnsi="Arial" w:cs="Arial"/>
                <w:b/>
                <w:bCs/>
                <w:color w:val="000000"/>
                <w:sz w:val="10"/>
                <w:lang w:eastAsia="es-ES"/>
              </w:rPr>
            </w:pPr>
            <w:r w:rsidRPr="0066070C">
              <w:rPr>
                <w:rFonts w:ascii="Arial" w:eastAsia="Times New Roman" w:hAnsi="Arial" w:cs="Arial"/>
                <w:b/>
                <w:bCs/>
                <w:color w:val="000000"/>
                <w:sz w:val="10"/>
                <w:lang w:eastAsia="es-ES"/>
              </w:rPr>
              <w:t>TOTAL</w:t>
            </w:r>
          </w:p>
        </w:tc>
      </w:tr>
      <w:tr w:rsidR="0066070C" w:rsidRPr="0066070C" w:rsidTr="0066070C">
        <w:trPr>
          <w:trHeight w:val="285"/>
          <w:jc w:val="center"/>
        </w:trPr>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r>
      <w:tr w:rsidR="0066070C" w:rsidRPr="0066070C" w:rsidTr="0066070C">
        <w:trPr>
          <w:trHeight w:val="285"/>
          <w:jc w:val="center"/>
        </w:trPr>
        <w:tc>
          <w:tcPr>
            <w:tcW w:w="0" w:type="auto"/>
            <w:tcBorders>
              <w:top w:val="single" w:sz="4" w:space="0" w:color="auto"/>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Costos totales fletes</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r>
      <w:tr w:rsidR="0066070C" w:rsidRPr="0066070C" w:rsidTr="0066070C">
        <w:trPr>
          <w:trHeight w:val="285"/>
          <w:jc w:val="center"/>
        </w:trPr>
        <w:tc>
          <w:tcPr>
            <w:tcW w:w="0" w:type="auto"/>
            <w:tcBorders>
              <w:top w:val="nil"/>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Actual Colombia</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350.632.100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115.789.100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385.431.900</w:t>
            </w:r>
          </w:p>
        </w:tc>
        <w:tc>
          <w:tcPr>
            <w:tcW w:w="0" w:type="auto"/>
            <w:tcBorders>
              <w:top w:val="nil"/>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851.853.100</w:t>
            </w:r>
          </w:p>
        </w:tc>
      </w:tr>
      <w:tr w:rsidR="0066070C" w:rsidRPr="0066070C" w:rsidTr="0066070C">
        <w:trPr>
          <w:trHeight w:val="285"/>
          <w:jc w:val="center"/>
        </w:trPr>
        <w:tc>
          <w:tcPr>
            <w:tcW w:w="0" w:type="auto"/>
            <w:tcBorders>
              <w:top w:val="nil"/>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Venta directa centralizada</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315.568.890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104.210.190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346.888.710</w:t>
            </w:r>
          </w:p>
        </w:tc>
        <w:tc>
          <w:tcPr>
            <w:tcW w:w="0" w:type="auto"/>
            <w:tcBorders>
              <w:top w:val="nil"/>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766.667.790</w:t>
            </w:r>
          </w:p>
        </w:tc>
      </w:tr>
      <w:tr w:rsidR="0066070C" w:rsidRPr="0066070C" w:rsidTr="0066070C">
        <w:trPr>
          <w:trHeight w:val="285"/>
          <w:jc w:val="center"/>
        </w:trPr>
        <w:tc>
          <w:tcPr>
            <w:tcW w:w="0" w:type="auto"/>
            <w:tcBorders>
              <w:top w:val="nil"/>
              <w:left w:val="single" w:sz="4" w:space="0" w:color="auto"/>
              <w:bottom w:val="single" w:sz="4" w:space="0" w:color="auto"/>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Diferencia</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35.063.210</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11.578.910</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38.543.190</w:t>
            </w:r>
          </w:p>
        </w:tc>
        <w:tc>
          <w:tcPr>
            <w:tcW w:w="0" w:type="auto"/>
            <w:tcBorders>
              <w:top w:val="nil"/>
              <w:left w:val="nil"/>
              <w:bottom w:val="single" w:sz="4" w:space="0" w:color="auto"/>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85.185.310</w:t>
            </w:r>
          </w:p>
        </w:tc>
      </w:tr>
      <w:tr w:rsidR="0066070C" w:rsidRPr="0066070C" w:rsidTr="0066070C">
        <w:trPr>
          <w:trHeight w:val="285"/>
          <w:jc w:val="center"/>
        </w:trPr>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r>
      <w:tr w:rsidR="0066070C" w:rsidRPr="0066070C" w:rsidTr="0066070C">
        <w:trPr>
          <w:trHeight w:val="285"/>
          <w:jc w:val="center"/>
        </w:trPr>
        <w:tc>
          <w:tcPr>
            <w:tcW w:w="0" w:type="auto"/>
            <w:tcBorders>
              <w:top w:val="single" w:sz="4" w:space="0" w:color="auto"/>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Costos fuerza de ventas</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r>
      <w:tr w:rsidR="0066070C" w:rsidRPr="0066070C" w:rsidTr="0066070C">
        <w:trPr>
          <w:trHeight w:val="285"/>
          <w:jc w:val="center"/>
        </w:trPr>
        <w:tc>
          <w:tcPr>
            <w:tcW w:w="0" w:type="auto"/>
            <w:tcBorders>
              <w:top w:val="nil"/>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Actual Colombia</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1.170.000.000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690.000.000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1.230.000.000</w:t>
            </w:r>
          </w:p>
        </w:tc>
        <w:tc>
          <w:tcPr>
            <w:tcW w:w="0" w:type="auto"/>
            <w:tcBorders>
              <w:top w:val="nil"/>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3.090.000.000</w:t>
            </w:r>
          </w:p>
        </w:tc>
      </w:tr>
      <w:tr w:rsidR="0066070C" w:rsidRPr="0066070C" w:rsidTr="0066070C">
        <w:trPr>
          <w:trHeight w:val="285"/>
          <w:jc w:val="center"/>
        </w:trPr>
        <w:tc>
          <w:tcPr>
            <w:tcW w:w="0" w:type="auto"/>
            <w:tcBorders>
              <w:top w:val="nil"/>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lastRenderedPageBreak/>
              <w:t xml:space="preserve">   Venta directa centralizada</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510.000.000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255.000.000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615.000.000</w:t>
            </w:r>
          </w:p>
        </w:tc>
        <w:tc>
          <w:tcPr>
            <w:tcW w:w="0" w:type="auto"/>
            <w:tcBorders>
              <w:top w:val="nil"/>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1.380.000.000</w:t>
            </w:r>
          </w:p>
        </w:tc>
      </w:tr>
      <w:tr w:rsidR="0066070C" w:rsidRPr="0066070C" w:rsidTr="0066070C">
        <w:trPr>
          <w:trHeight w:val="285"/>
          <w:jc w:val="center"/>
        </w:trPr>
        <w:tc>
          <w:tcPr>
            <w:tcW w:w="0" w:type="auto"/>
            <w:tcBorders>
              <w:top w:val="nil"/>
              <w:left w:val="single" w:sz="4" w:space="0" w:color="auto"/>
              <w:bottom w:val="single" w:sz="4" w:space="0" w:color="auto"/>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Diferencia</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660.000.000</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435.000.000</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615.000.000</w:t>
            </w:r>
          </w:p>
        </w:tc>
        <w:tc>
          <w:tcPr>
            <w:tcW w:w="0" w:type="auto"/>
            <w:tcBorders>
              <w:top w:val="nil"/>
              <w:left w:val="nil"/>
              <w:bottom w:val="single" w:sz="4" w:space="0" w:color="auto"/>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1.710.000.000</w:t>
            </w:r>
          </w:p>
        </w:tc>
      </w:tr>
      <w:tr w:rsidR="0066070C" w:rsidRPr="0066070C" w:rsidTr="0066070C">
        <w:trPr>
          <w:trHeight w:val="285"/>
          <w:jc w:val="center"/>
        </w:trPr>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r>
      <w:tr w:rsidR="0066070C" w:rsidRPr="0066070C" w:rsidTr="0066070C">
        <w:trPr>
          <w:trHeight w:val="285"/>
          <w:jc w:val="center"/>
        </w:trPr>
        <w:tc>
          <w:tcPr>
            <w:tcW w:w="0" w:type="auto"/>
            <w:tcBorders>
              <w:top w:val="single" w:sz="4" w:space="0" w:color="auto"/>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Costos programa de pacientes</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r>
      <w:tr w:rsidR="0066070C" w:rsidRPr="0066070C" w:rsidTr="0066070C">
        <w:trPr>
          <w:trHeight w:val="285"/>
          <w:jc w:val="center"/>
        </w:trPr>
        <w:tc>
          <w:tcPr>
            <w:tcW w:w="0" w:type="auto"/>
            <w:tcBorders>
              <w:top w:val="nil"/>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Actual Colombia</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1.080.000.000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240.000.000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240.000.000</w:t>
            </w:r>
          </w:p>
        </w:tc>
        <w:tc>
          <w:tcPr>
            <w:tcW w:w="0" w:type="auto"/>
            <w:tcBorders>
              <w:top w:val="nil"/>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1.560.000.000</w:t>
            </w:r>
          </w:p>
        </w:tc>
      </w:tr>
      <w:tr w:rsidR="0066070C" w:rsidRPr="0066070C" w:rsidTr="0066070C">
        <w:trPr>
          <w:trHeight w:val="285"/>
          <w:jc w:val="center"/>
        </w:trPr>
        <w:tc>
          <w:tcPr>
            <w:tcW w:w="0" w:type="auto"/>
            <w:tcBorders>
              <w:top w:val="nil"/>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Venta directa centralizada</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0</w:t>
            </w:r>
          </w:p>
        </w:tc>
        <w:tc>
          <w:tcPr>
            <w:tcW w:w="0" w:type="auto"/>
            <w:tcBorders>
              <w:top w:val="nil"/>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0</w:t>
            </w:r>
          </w:p>
        </w:tc>
      </w:tr>
      <w:tr w:rsidR="0066070C" w:rsidRPr="0066070C" w:rsidTr="0066070C">
        <w:trPr>
          <w:trHeight w:val="285"/>
          <w:jc w:val="center"/>
        </w:trPr>
        <w:tc>
          <w:tcPr>
            <w:tcW w:w="0" w:type="auto"/>
            <w:tcBorders>
              <w:top w:val="nil"/>
              <w:left w:val="single" w:sz="4" w:space="0" w:color="auto"/>
              <w:bottom w:val="single" w:sz="4" w:space="0" w:color="auto"/>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Diferencia</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1.080.000.000</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240.000.000</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240.000.000</w:t>
            </w:r>
          </w:p>
        </w:tc>
        <w:tc>
          <w:tcPr>
            <w:tcW w:w="0" w:type="auto"/>
            <w:tcBorders>
              <w:top w:val="nil"/>
              <w:left w:val="nil"/>
              <w:bottom w:val="single" w:sz="4" w:space="0" w:color="auto"/>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1.560.000.000</w:t>
            </w:r>
          </w:p>
        </w:tc>
      </w:tr>
      <w:tr w:rsidR="0066070C" w:rsidRPr="0066070C" w:rsidTr="0066070C">
        <w:trPr>
          <w:trHeight w:val="285"/>
          <w:jc w:val="center"/>
        </w:trPr>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r>
      <w:tr w:rsidR="0066070C" w:rsidRPr="0066070C" w:rsidTr="0066070C">
        <w:trPr>
          <w:trHeight w:val="285"/>
          <w:jc w:val="center"/>
        </w:trPr>
        <w:tc>
          <w:tcPr>
            <w:tcW w:w="0" w:type="auto"/>
            <w:tcBorders>
              <w:top w:val="single" w:sz="4" w:space="0" w:color="auto"/>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Total costos administrativos</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c>
          <w:tcPr>
            <w:tcW w:w="0" w:type="auto"/>
            <w:tcBorders>
              <w:top w:val="single" w:sz="4" w:space="0" w:color="auto"/>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r>
      <w:tr w:rsidR="0066070C" w:rsidRPr="0066070C" w:rsidTr="0066070C">
        <w:trPr>
          <w:trHeight w:val="285"/>
          <w:jc w:val="center"/>
        </w:trPr>
        <w:tc>
          <w:tcPr>
            <w:tcW w:w="0" w:type="auto"/>
            <w:tcBorders>
              <w:top w:val="nil"/>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Actual Colombia</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2.600.632.100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1.045.789.100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1.855.431.900</w:t>
            </w:r>
          </w:p>
        </w:tc>
        <w:tc>
          <w:tcPr>
            <w:tcW w:w="0" w:type="auto"/>
            <w:tcBorders>
              <w:top w:val="nil"/>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5.501.853.100</w:t>
            </w:r>
          </w:p>
        </w:tc>
      </w:tr>
      <w:tr w:rsidR="0066070C" w:rsidRPr="0066070C" w:rsidTr="0066070C">
        <w:trPr>
          <w:trHeight w:val="285"/>
          <w:jc w:val="center"/>
        </w:trPr>
        <w:tc>
          <w:tcPr>
            <w:tcW w:w="0" w:type="auto"/>
            <w:tcBorders>
              <w:top w:val="nil"/>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Venta directa centralizada</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825.568.890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359.210.190</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961.888.710</w:t>
            </w:r>
          </w:p>
        </w:tc>
        <w:tc>
          <w:tcPr>
            <w:tcW w:w="0" w:type="auto"/>
            <w:tcBorders>
              <w:top w:val="nil"/>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2.146.667.790</w:t>
            </w:r>
          </w:p>
        </w:tc>
      </w:tr>
      <w:tr w:rsidR="0066070C" w:rsidRPr="0066070C" w:rsidTr="0066070C">
        <w:trPr>
          <w:trHeight w:val="285"/>
          <w:jc w:val="center"/>
        </w:trPr>
        <w:tc>
          <w:tcPr>
            <w:tcW w:w="0" w:type="auto"/>
            <w:tcBorders>
              <w:top w:val="nil"/>
              <w:left w:val="single" w:sz="4" w:space="0" w:color="auto"/>
              <w:bottom w:val="single" w:sz="4" w:space="0" w:color="auto"/>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Diferencia</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1.775.063.210</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686.578.910</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893.543.190</w:t>
            </w:r>
          </w:p>
        </w:tc>
        <w:tc>
          <w:tcPr>
            <w:tcW w:w="0" w:type="auto"/>
            <w:tcBorders>
              <w:top w:val="nil"/>
              <w:left w:val="nil"/>
              <w:bottom w:val="single" w:sz="4" w:space="0" w:color="auto"/>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3.355.185.310</w:t>
            </w:r>
          </w:p>
        </w:tc>
      </w:tr>
      <w:tr w:rsidR="0066070C" w:rsidRPr="0066070C" w:rsidTr="0066070C">
        <w:trPr>
          <w:trHeight w:val="285"/>
          <w:jc w:val="center"/>
        </w:trPr>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p>
        </w:tc>
      </w:tr>
      <w:tr w:rsidR="0066070C" w:rsidRPr="0066070C" w:rsidTr="0066070C">
        <w:trPr>
          <w:trHeight w:val="285"/>
          <w:jc w:val="center"/>
        </w:trPr>
        <w:tc>
          <w:tcPr>
            <w:tcW w:w="0" w:type="auto"/>
            <w:tcBorders>
              <w:top w:val="single" w:sz="4" w:space="0" w:color="auto"/>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Numero unidades vendidas año</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9.451</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3.121</w:t>
            </w:r>
          </w:p>
        </w:tc>
        <w:tc>
          <w:tcPr>
            <w:tcW w:w="0" w:type="auto"/>
            <w:tcBorders>
              <w:top w:val="single" w:sz="4" w:space="0" w:color="auto"/>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10.389</w:t>
            </w:r>
          </w:p>
        </w:tc>
        <w:tc>
          <w:tcPr>
            <w:tcW w:w="0" w:type="auto"/>
            <w:tcBorders>
              <w:top w:val="single" w:sz="4" w:space="0" w:color="auto"/>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22.961</w:t>
            </w:r>
          </w:p>
        </w:tc>
      </w:tr>
      <w:tr w:rsidR="0066070C" w:rsidRPr="0066070C" w:rsidTr="0066070C">
        <w:trPr>
          <w:trHeight w:val="285"/>
          <w:jc w:val="center"/>
        </w:trPr>
        <w:tc>
          <w:tcPr>
            <w:tcW w:w="0" w:type="auto"/>
            <w:tcBorders>
              <w:top w:val="nil"/>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Diferencia costo por unidad vendida año</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187.818   </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219.987   </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86.009   </w:t>
            </w:r>
          </w:p>
        </w:tc>
        <w:tc>
          <w:tcPr>
            <w:tcW w:w="0" w:type="auto"/>
            <w:tcBorders>
              <w:top w:val="nil"/>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146.125   </w:t>
            </w:r>
          </w:p>
        </w:tc>
      </w:tr>
      <w:tr w:rsidR="0066070C" w:rsidRPr="0066070C" w:rsidTr="0066070C">
        <w:trPr>
          <w:trHeight w:val="285"/>
          <w:jc w:val="center"/>
        </w:trPr>
        <w:tc>
          <w:tcPr>
            <w:tcW w:w="0" w:type="auto"/>
            <w:tcBorders>
              <w:top w:val="nil"/>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de diferencia con respecto al PRI del Ministerio</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9,6%</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5,3%</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jc w:val="right"/>
              <w:rPr>
                <w:rFonts w:ascii="Arial" w:eastAsia="Times New Roman" w:hAnsi="Arial" w:cs="Arial"/>
                <w:color w:val="000000"/>
                <w:sz w:val="10"/>
                <w:lang w:eastAsia="es-ES"/>
              </w:rPr>
            </w:pPr>
            <w:r w:rsidRPr="0066070C">
              <w:rPr>
                <w:rFonts w:ascii="Arial" w:eastAsia="Times New Roman" w:hAnsi="Arial" w:cs="Arial"/>
                <w:color w:val="000000"/>
                <w:sz w:val="10"/>
                <w:lang w:eastAsia="es-ES"/>
              </w:rPr>
              <w:t>4,2%</w:t>
            </w:r>
          </w:p>
        </w:tc>
        <w:tc>
          <w:tcPr>
            <w:tcW w:w="0" w:type="auto"/>
            <w:tcBorders>
              <w:top w:val="nil"/>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r>
      <w:tr w:rsidR="0066070C" w:rsidRPr="0066070C" w:rsidTr="0066070C">
        <w:trPr>
          <w:trHeight w:val="285"/>
          <w:jc w:val="center"/>
        </w:trPr>
        <w:tc>
          <w:tcPr>
            <w:tcW w:w="0" w:type="auto"/>
            <w:tcBorders>
              <w:top w:val="nil"/>
              <w:left w:val="single" w:sz="4" w:space="0" w:color="auto"/>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PRI MPS</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524   </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345   </w:t>
            </w:r>
          </w:p>
        </w:tc>
        <w:tc>
          <w:tcPr>
            <w:tcW w:w="0" w:type="auto"/>
            <w:tcBorders>
              <w:top w:val="nil"/>
              <w:left w:val="nil"/>
              <w:bottom w:val="nil"/>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3.452   </w:t>
            </w:r>
          </w:p>
        </w:tc>
        <w:tc>
          <w:tcPr>
            <w:tcW w:w="0" w:type="auto"/>
            <w:tcBorders>
              <w:top w:val="nil"/>
              <w:left w:val="nil"/>
              <w:bottom w:val="nil"/>
              <w:right w:val="single" w:sz="4" w:space="0" w:color="auto"/>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r>
      <w:tr w:rsidR="0066070C" w:rsidRPr="0066070C" w:rsidTr="0066070C">
        <w:trPr>
          <w:trHeight w:val="285"/>
          <w:jc w:val="center"/>
        </w:trPr>
        <w:tc>
          <w:tcPr>
            <w:tcW w:w="0" w:type="auto"/>
            <w:tcBorders>
              <w:top w:val="nil"/>
              <w:left w:val="single" w:sz="4" w:space="0" w:color="auto"/>
              <w:bottom w:val="single" w:sz="4" w:space="0" w:color="auto"/>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Precio según presentación</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1.964.819   </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4.142.367   </w:t>
            </w:r>
          </w:p>
        </w:tc>
        <w:tc>
          <w:tcPr>
            <w:tcW w:w="0" w:type="auto"/>
            <w:tcBorders>
              <w:top w:val="nil"/>
              <w:left w:val="nil"/>
              <w:bottom w:val="single" w:sz="4" w:space="0" w:color="auto"/>
              <w:right w:val="nil"/>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xml:space="preserve">        2.070.939   </w:t>
            </w:r>
          </w:p>
        </w:tc>
        <w:tc>
          <w:tcPr>
            <w:tcW w:w="0" w:type="auto"/>
            <w:tcBorders>
              <w:top w:val="nil"/>
              <w:left w:val="nil"/>
              <w:bottom w:val="single" w:sz="4" w:space="0" w:color="auto"/>
              <w:right w:val="single" w:sz="4" w:space="0" w:color="auto"/>
            </w:tcBorders>
            <w:shd w:val="clear" w:color="auto" w:fill="auto"/>
            <w:noWrap/>
            <w:vAlign w:val="bottom"/>
            <w:hideMark/>
          </w:tcPr>
          <w:p w:rsidR="0066070C" w:rsidRPr="0066070C" w:rsidRDefault="0066070C" w:rsidP="0066070C">
            <w:pPr>
              <w:spacing w:after="0" w:line="240" w:lineRule="auto"/>
              <w:rPr>
                <w:rFonts w:ascii="Arial" w:eastAsia="Times New Roman" w:hAnsi="Arial" w:cs="Arial"/>
                <w:color w:val="000000"/>
                <w:sz w:val="10"/>
                <w:lang w:eastAsia="es-ES"/>
              </w:rPr>
            </w:pPr>
            <w:r w:rsidRPr="0066070C">
              <w:rPr>
                <w:rFonts w:ascii="Arial" w:eastAsia="Times New Roman" w:hAnsi="Arial" w:cs="Arial"/>
                <w:color w:val="000000"/>
                <w:sz w:val="10"/>
                <w:lang w:eastAsia="es-ES"/>
              </w:rPr>
              <w:t> </w:t>
            </w:r>
          </w:p>
        </w:tc>
      </w:tr>
    </w:tbl>
    <w:p w:rsidR="0066070C" w:rsidRDefault="0066070C" w:rsidP="002A4FC6">
      <w:pPr>
        <w:pStyle w:val="Prrafodelista"/>
        <w:ind w:left="360"/>
        <w:jc w:val="both"/>
      </w:pPr>
    </w:p>
    <w:p w:rsidR="0066070C" w:rsidRDefault="0066070C" w:rsidP="002A4FC6">
      <w:pPr>
        <w:pStyle w:val="Prrafodelista"/>
        <w:ind w:left="360"/>
        <w:jc w:val="both"/>
      </w:pPr>
    </w:p>
    <w:p w:rsidR="0073717D" w:rsidRDefault="0073717D" w:rsidP="002A4FC6">
      <w:pPr>
        <w:pStyle w:val="Prrafodelista"/>
        <w:ind w:left="360"/>
        <w:jc w:val="both"/>
      </w:pPr>
      <w:r>
        <w:t>Por lo anterior, consideramos que la decisión acertada que tomó la CNP</w:t>
      </w:r>
      <w:r w:rsidR="00F537EB">
        <w:t>MDM</w:t>
      </w:r>
      <w:r>
        <w:t xml:space="preserve"> para el caso de Francia (para productos cuyo precio generaba factor de ajuste 0%), sea tenida en cuenta para estos países, donde la evidencia muestra que existen diferencias significativas en los modelos de compra con respecto a Colombia. En este caso, se solicita de manera atenta se contemple la posibilidad de acudir al mismo mecanismo de cálculo empleado para el caso de Francia, contemplado en el Artículo 11, literal a) de la Circular 03 de 2013. </w:t>
      </w:r>
    </w:p>
    <w:p w:rsidR="0073717D" w:rsidRDefault="0073717D" w:rsidP="002A4FC6">
      <w:pPr>
        <w:pStyle w:val="Prrafodelista"/>
        <w:ind w:left="360"/>
        <w:jc w:val="both"/>
      </w:pPr>
    </w:p>
    <w:p w:rsidR="0073717D" w:rsidRDefault="0073717D" w:rsidP="002A4FC6">
      <w:pPr>
        <w:pStyle w:val="Prrafodelista"/>
        <w:ind w:left="708"/>
        <w:jc w:val="both"/>
        <w:rPr>
          <w:sz w:val="20"/>
        </w:rPr>
      </w:pPr>
      <w:r w:rsidRPr="0073717D">
        <w:rPr>
          <w:sz w:val="20"/>
        </w:rPr>
        <w:t>“Dicho margen se obtuvo de la siguiente manera: A todos los precios ex fábrica levantados en el ejercicio de referenciación internacional (convertidos a pesos colombianos y superiores a COP$ 924.837 -400 Euros-), se les calculó la diferencia con el precio en el punto mayorista. Luego se sacó el promedio simple de estas diferencias porcentuales. El resultado fue 5,14%”</w:t>
      </w:r>
      <w:r>
        <w:rPr>
          <w:sz w:val="20"/>
        </w:rPr>
        <w:tab/>
      </w:r>
    </w:p>
    <w:p w:rsidR="00D1206E" w:rsidRDefault="00D1206E" w:rsidP="00D1206E">
      <w:pPr>
        <w:pStyle w:val="Prrafodelista"/>
        <w:ind w:left="360"/>
        <w:jc w:val="both"/>
      </w:pPr>
    </w:p>
    <w:p w:rsidR="0073717D" w:rsidRPr="00D1206E" w:rsidRDefault="0073717D" w:rsidP="00D1206E">
      <w:pPr>
        <w:pStyle w:val="Prrafodelista"/>
        <w:ind w:left="360"/>
        <w:jc w:val="both"/>
      </w:pPr>
      <w:r w:rsidRPr="00D1206E">
        <w:t>Para efectos de soportar esta solicitud, nos parece pertinente hacer algunas aclaraciones adicionales sobre la realidad de las condiciones de comercialización de los productos mencionados en Colombia:</w:t>
      </w:r>
    </w:p>
    <w:p w:rsidR="00D1206E" w:rsidRDefault="00D1206E" w:rsidP="00D1206E">
      <w:pPr>
        <w:pStyle w:val="Prrafodelista"/>
        <w:ind w:left="360"/>
        <w:jc w:val="both"/>
      </w:pPr>
    </w:p>
    <w:p w:rsidR="00D1206E" w:rsidRDefault="0073717D" w:rsidP="00D1206E">
      <w:pPr>
        <w:pStyle w:val="Prrafodelista"/>
        <w:ind w:left="360"/>
        <w:jc w:val="both"/>
      </w:pPr>
      <w:r w:rsidRPr="00D1206E">
        <w:t xml:space="preserve">Uno de los aspectos centrales de esta regulación es  que busca </w:t>
      </w:r>
      <w:r>
        <w:t>incentivar la negociación entre actores con poder transaccional similar (laboratorios, mayoristas y compradores institucionales). Sin embargo, la realidad en</w:t>
      </w:r>
      <w:r w:rsidR="009A0218">
        <w:t xml:space="preserve"> Colombia muestra que el poder transaccional no es el mismo entre los actores, lo cual se sustenta en lo siguiente:</w:t>
      </w:r>
    </w:p>
    <w:p w:rsidR="00D1206E" w:rsidRPr="00D1206E" w:rsidRDefault="00D1206E" w:rsidP="00D1206E">
      <w:pPr>
        <w:pStyle w:val="Prrafodelista"/>
        <w:ind w:left="360"/>
        <w:jc w:val="both"/>
      </w:pPr>
    </w:p>
    <w:p w:rsidR="008F5B5F" w:rsidRPr="0060598B" w:rsidRDefault="009A0218" w:rsidP="002A4FC6">
      <w:pPr>
        <w:pStyle w:val="Prrafodelista"/>
        <w:numPr>
          <w:ilvl w:val="0"/>
          <w:numId w:val="4"/>
        </w:numPr>
        <w:jc w:val="both"/>
        <w:rPr>
          <w:sz w:val="20"/>
        </w:rPr>
      </w:pPr>
      <w:r>
        <w:t xml:space="preserve">En Colombia para el mercado institucional (donde Bayer comercializa la totalidad de Betaferon, Nexavar y Ventavis) </w:t>
      </w:r>
      <w:r w:rsidR="008F5B5F">
        <w:t xml:space="preserve">nuestra compañía </w:t>
      </w:r>
      <w:r w:rsidRPr="008F5B5F">
        <w:rPr>
          <w:b/>
        </w:rPr>
        <w:t>no</w:t>
      </w:r>
      <w:r>
        <w:t xml:space="preserve"> escoge vender a intermediarios (llamados</w:t>
      </w:r>
      <w:r w:rsidR="008F5B5F">
        <w:t xml:space="preserve"> operadores logísticos). Estos son seleccionados e impuestos por las EPS y demás pagadores del sistema</w:t>
      </w:r>
    </w:p>
    <w:p w:rsidR="0073717D" w:rsidRPr="008F5B5F" w:rsidRDefault="008F5B5F" w:rsidP="002A4FC6">
      <w:pPr>
        <w:pStyle w:val="Prrafodelista"/>
        <w:numPr>
          <w:ilvl w:val="0"/>
          <w:numId w:val="4"/>
        </w:numPr>
        <w:jc w:val="both"/>
        <w:rPr>
          <w:sz w:val="20"/>
        </w:rPr>
      </w:pPr>
      <w:r>
        <w:t>Esto se refleja en el hecho que menos del 5% de las ventas institucionales de Bayer se hacen directamente a EPS</w:t>
      </w:r>
    </w:p>
    <w:p w:rsidR="008F5B5F" w:rsidRPr="008F5B5F" w:rsidRDefault="008F5B5F" w:rsidP="002A4FC6">
      <w:pPr>
        <w:pStyle w:val="Prrafodelista"/>
        <w:numPr>
          <w:ilvl w:val="0"/>
          <w:numId w:val="4"/>
        </w:numPr>
        <w:jc w:val="both"/>
        <w:rPr>
          <w:sz w:val="20"/>
        </w:rPr>
      </w:pPr>
      <w:r>
        <w:lastRenderedPageBreak/>
        <w:t xml:space="preserve">Otro 28% se hace en operadores logísticos integrados verticalmente a las EPS </w:t>
      </w:r>
    </w:p>
    <w:p w:rsidR="008F5B5F" w:rsidRPr="008F5B5F" w:rsidRDefault="008F5B5F" w:rsidP="002A4FC6">
      <w:pPr>
        <w:pStyle w:val="Prrafodelista"/>
        <w:numPr>
          <w:ilvl w:val="0"/>
          <w:numId w:val="4"/>
        </w:numPr>
        <w:jc w:val="both"/>
        <w:rPr>
          <w:sz w:val="20"/>
        </w:rPr>
      </w:pPr>
      <w:r>
        <w:t>El 67% se hace a operadores logísticos no integrados que le venden a múltiples EPS</w:t>
      </w:r>
    </w:p>
    <w:p w:rsidR="0060598B" w:rsidRPr="008F5B5F" w:rsidRDefault="0060598B" w:rsidP="002A4FC6">
      <w:pPr>
        <w:pStyle w:val="Prrafodelista"/>
        <w:numPr>
          <w:ilvl w:val="0"/>
          <w:numId w:val="4"/>
        </w:numPr>
        <w:jc w:val="both"/>
        <w:rPr>
          <w:sz w:val="20"/>
        </w:rPr>
      </w:pPr>
      <w:r>
        <w:rPr>
          <w:sz w:val="20"/>
        </w:rPr>
        <w:t>El 80% de la venta se concentra en menos de 10 operadores logísticos que tienen un gran poder de compra, debido a que prestan operación logística a un número importante de aseguradoras</w:t>
      </w:r>
    </w:p>
    <w:p w:rsidR="0060598B" w:rsidRPr="0060598B" w:rsidRDefault="0060598B" w:rsidP="002A4FC6">
      <w:pPr>
        <w:pStyle w:val="Prrafodelista"/>
        <w:numPr>
          <w:ilvl w:val="0"/>
          <w:numId w:val="4"/>
        </w:numPr>
        <w:jc w:val="both"/>
        <w:rPr>
          <w:sz w:val="20"/>
        </w:rPr>
      </w:pPr>
      <w:r>
        <w:rPr>
          <w:sz w:val="20"/>
        </w:rPr>
        <w:t>A pesar de tener 24 productos sin genéricos en el mercado,</w:t>
      </w:r>
      <w:r w:rsidR="003C7BD1">
        <w:rPr>
          <w:sz w:val="20"/>
        </w:rPr>
        <w:t xml:space="preserve"> aproximadamente 70</w:t>
      </w:r>
      <w:r>
        <w:rPr>
          <w:sz w:val="20"/>
        </w:rPr>
        <w:t xml:space="preserve">% </w:t>
      </w:r>
      <w:r w:rsidR="008F5B5F">
        <w:rPr>
          <w:sz w:val="20"/>
        </w:rPr>
        <w:t>del total de las ventas en el canal institucional</w:t>
      </w:r>
      <w:r>
        <w:rPr>
          <w:sz w:val="20"/>
        </w:rPr>
        <w:t xml:space="preserve"> corresponden a </w:t>
      </w:r>
      <w:r w:rsidR="008F5B5F">
        <w:rPr>
          <w:sz w:val="20"/>
        </w:rPr>
        <w:t xml:space="preserve">productos en los que </w:t>
      </w:r>
      <w:r>
        <w:rPr>
          <w:sz w:val="20"/>
        </w:rPr>
        <w:t xml:space="preserve">la </w:t>
      </w:r>
      <w:r w:rsidR="008F5B5F">
        <w:rPr>
          <w:sz w:val="20"/>
        </w:rPr>
        <w:t>EPS o el operador logís</w:t>
      </w:r>
      <w:r>
        <w:rPr>
          <w:sz w:val="20"/>
        </w:rPr>
        <w:t xml:space="preserve">tico pueden influir o tomar una decisión en la selección de la marca que se dispensa </w:t>
      </w:r>
      <w:r w:rsidR="008F5B5F">
        <w:rPr>
          <w:sz w:val="20"/>
        </w:rPr>
        <w:t>(</w:t>
      </w:r>
      <w:r w:rsidR="003C7BD1">
        <w:rPr>
          <w:sz w:val="20"/>
        </w:rPr>
        <w:t xml:space="preserve">bien sea porque </w:t>
      </w:r>
      <w:r>
        <w:rPr>
          <w:sz w:val="20"/>
        </w:rPr>
        <w:t>tienen genérico o son productos “exclusivos” ambulatorios por lo que pueden cambian los pacientes de princ</w:t>
      </w:r>
      <w:r w:rsidR="003C7BD1">
        <w:rPr>
          <w:sz w:val="20"/>
        </w:rPr>
        <w:t xml:space="preserve">ipio activo solo por razones económicas (mejor margen en productos regulados) </w:t>
      </w:r>
      <w:r>
        <w:rPr>
          <w:sz w:val="20"/>
        </w:rPr>
        <w:t xml:space="preserve">sin tener en mente diferencias </w:t>
      </w:r>
      <w:r w:rsidR="008F5B5F">
        <w:rPr>
          <w:sz w:val="20"/>
        </w:rPr>
        <w:t>de efectividad</w:t>
      </w:r>
      <w:r>
        <w:rPr>
          <w:sz w:val="20"/>
        </w:rPr>
        <w:t xml:space="preserve">, seguridad o conveniencia. </w:t>
      </w:r>
      <w:r w:rsidR="008F5B5F">
        <w:rPr>
          <w:sz w:val="20"/>
        </w:rPr>
        <w:t xml:space="preserve"> </w:t>
      </w:r>
    </w:p>
    <w:p w:rsidR="0092378A" w:rsidRDefault="0092378A" w:rsidP="002A4FC6">
      <w:pPr>
        <w:pStyle w:val="Default"/>
        <w:jc w:val="both"/>
        <w:rPr>
          <w:sz w:val="22"/>
          <w:szCs w:val="22"/>
        </w:rPr>
      </w:pPr>
    </w:p>
    <w:p w:rsidR="001326A5" w:rsidRDefault="0060598B" w:rsidP="002A4FC6">
      <w:pPr>
        <w:pStyle w:val="Default"/>
        <w:jc w:val="both"/>
        <w:rPr>
          <w:sz w:val="22"/>
          <w:szCs w:val="22"/>
        </w:rPr>
      </w:pPr>
      <w:r>
        <w:rPr>
          <w:sz w:val="22"/>
          <w:szCs w:val="22"/>
        </w:rPr>
        <w:t>Todos los factores mencionados hacen que los operadores logísticos y las EPS tengan un poder de negociación mucho más fuerte que los laboratorios farmacéuticos. Razón por la cual hoy ya tenemos casos de operadores que están solicitando a los productores márgenes sobre el precio</w:t>
      </w:r>
      <w:r w:rsidR="001326A5">
        <w:rPr>
          <w:sz w:val="22"/>
          <w:szCs w:val="22"/>
        </w:rPr>
        <w:t xml:space="preserve"> regulado de 12% e incluso 15% apalancándose en la presión que pueden ejercer en la medida que tienen concentrada casi el 100% de la demanda de las EPS y por el hecho que pueden cambiar productos con genéricos en caso de no ceder a sus expectativas.</w:t>
      </w:r>
    </w:p>
    <w:p w:rsidR="0060598B" w:rsidRDefault="0060598B" w:rsidP="002A4FC6">
      <w:pPr>
        <w:pStyle w:val="Default"/>
        <w:jc w:val="both"/>
        <w:rPr>
          <w:sz w:val="22"/>
          <w:szCs w:val="22"/>
        </w:rPr>
      </w:pPr>
    </w:p>
    <w:p w:rsidR="006A0D59" w:rsidRDefault="001326A5" w:rsidP="002A4FC6">
      <w:pPr>
        <w:pStyle w:val="Default"/>
        <w:jc w:val="both"/>
        <w:rPr>
          <w:sz w:val="22"/>
          <w:szCs w:val="22"/>
          <w:lang w:val="es-CO"/>
        </w:rPr>
      </w:pPr>
      <w:r>
        <w:rPr>
          <w:sz w:val="22"/>
          <w:szCs w:val="22"/>
          <w:lang w:val="es-CO"/>
        </w:rPr>
        <w:t xml:space="preserve">Queremos resaltar que estos ajustes </w:t>
      </w:r>
      <w:r w:rsidR="00FD3353">
        <w:rPr>
          <w:sz w:val="22"/>
          <w:szCs w:val="22"/>
          <w:lang w:val="es-CO"/>
        </w:rPr>
        <w:t>están</w:t>
      </w:r>
      <w:r>
        <w:rPr>
          <w:sz w:val="22"/>
          <w:szCs w:val="22"/>
          <w:lang w:val="es-CO"/>
        </w:rPr>
        <w:t xml:space="preserve"> relacionados excl</w:t>
      </w:r>
      <w:r w:rsidR="00FD3353">
        <w:rPr>
          <w:sz w:val="22"/>
          <w:szCs w:val="22"/>
          <w:lang w:val="es-CO"/>
        </w:rPr>
        <w:t>u</w:t>
      </w:r>
      <w:r>
        <w:rPr>
          <w:sz w:val="22"/>
          <w:szCs w:val="22"/>
          <w:lang w:val="es-CO"/>
        </w:rPr>
        <w:t>sivamente con la diferencia</w:t>
      </w:r>
      <w:r w:rsidR="00FD3353">
        <w:rPr>
          <w:sz w:val="22"/>
          <w:szCs w:val="22"/>
          <w:lang w:val="es-CO"/>
        </w:rPr>
        <w:t xml:space="preserve"> en el </w:t>
      </w:r>
      <w:r>
        <w:rPr>
          <w:sz w:val="22"/>
          <w:szCs w:val="22"/>
          <w:lang w:val="es-CO"/>
        </w:rPr>
        <w:t xml:space="preserve"> modelo de venta de Bayer en países con </w:t>
      </w:r>
      <w:r>
        <w:rPr>
          <w:b/>
          <w:sz w:val="22"/>
          <w:szCs w:val="22"/>
          <w:lang w:val="es-CO"/>
        </w:rPr>
        <w:t xml:space="preserve">compra centralizada directa comparado con Bayer Colombia. </w:t>
      </w:r>
      <w:r w:rsidRPr="001326A5">
        <w:rPr>
          <w:sz w:val="22"/>
          <w:szCs w:val="22"/>
          <w:lang w:val="es-CO"/>
        </w:rPr>
        <w:t>No se ha incluido en este caso los márgenes que puedan derivarse de la gestión de intermediarios co</w:t>
      </w:r>
      <w:r>
        <w:rPr>
          <w:sz w:val="22"/>
          <w:szCs w:val="22"/>
          <w:lang w:val="es-CO"/>
        </w:rPr>
        <w:t>mo operadores logísticos o in</w:t>
      </w:r>
      <w:r w:rsidR="00FD3353">
        <w:rPr>
          <w:sz w:val="22"/>
          <w:szCs w:val="22"/>
          <w:lang w:val="es-CO"/>
        </w:rPr>
        <w:t>cl</w:t>
      </w:r>
      <w:r>
        <w:rPr>
          <w:sz w:val="22"/>
          <w:szCs w:val="22"/>
          <w:lang w:val="es-CO"/>
        </w:rPr>
        <w:t>uso gastos de adecuación.</w:t>
      </w:r>
    </w:p>
    <w:p w:rsidR="001326A5" w:rsidRPr="001326A5" w:rsidRDefault="001326A5" w:rsidP="002A4FC6">
      <w:pPr>
        <w:pStyle w:val="Default"/>
        <w:jc w:val="both"/>
        <w:rPr>
          <w:b/>
          <w:sz w:val="22"/>
          <w:szCs w:val="22"/>
          <w:lang w:val="es-CO"/>
        </w:rPr>
      </w:pPr>
    </w:p>
    <w:p w:rsidR="001326A5" w:rsidRDefault="001326A5" w:rsidP="001326A5">
      <w:pPr>
        <w:pStyle w:val="Prrafodelista"/>
        <w:numPr>
          <w:ilvl w:val="0"/>
          <w:numId w:val="2"/>
        </w:numPr>
        <w:jc w:val="both"/>
        <w:rPr>
          <w:b/>
          <w:lang w:val="es-CO"/>
        </w:rPr>
      </w:pPr>
      <w:r>
        <w:rPr>
          <w:b/>
          <w:lang w:val="es-CO"/>
        </w:rPr>
        <w:t>Tema adicional</w:t>
      </w:r>
    </w:p>
    <w:p w:rsidR="001326A5" w:rsidRPr="006A0D59" w:rsidRDefault="001326A5" w:rsidP="001326A5">
      <w:pPr>
        <w:spacing w:after="0" w:line="240" w:lineRule="auto"/>
        <w:jc w:val="both"/>
        <w:rPr>
          <w:lang w:val="es-CO"/>
        </w:rPr>
      </w:pPr>
      <w:r w:rsidRPr="006A0D59">
        <w:rPr>
          <w:lang w:val="es-CO"/>
        </w:rPr>
        <w:t>En el caso de España la CNPMDM seleccionó un margen cercano a 0 para productos de alto costo y aplicando el mismo racionamiento del caso de Francia, se sugiere se mantenga un factor de ajuste del 5,14.</w:t>
      </w:r>
    </w:p>
    <w:p w:rsidR="0060598B" w:rsidRPr="001326A5" w:rsidRDefault="0060598B" w:rsidP="002A4FC6">
      <w:pPr>
        <w:pStyle w:val="Default"/>
        <w:jc w:val="both"/>
        <w:rPr>
          <w:lang w:val="es-CO"/>
        </w:rPr>
      </w:pPr>
    </w:p>
    <w:p w:rsidR="00424A05" w:rsidRPr="009C2D7B" w:rsidRDefault="00D76391" w:rsidP="009C2D7B">
      <w:pPr>
        <w:pStyle w:val="Prrafodelista"/>
        <w:numPr>
          <w:ilvl w:val="0"/>
          <w:numId w:val="2"/>
        </w:numPr>
        <w:jc w:val="both"/>
        <w:rPr>
          <w:b/>
          <w:lang w:val="es-CO"/>
        </w:rPr>
      </w:pPr>
      <w:r w:rsidRPr="009C2D7B">
        <w:rPr>
          <w:b/>
          <w:lang w:val="es-CO"/>
        </w:rPr>
        <w:t>PRI con los ajustes descritos</w:t>
      </w:r>
    </w:p>
    <w:p w:rsidR="00424A05" w:rsidRDefault="00375E75" w:rsidP="002A4FC6">
      <w:pPr>
        <w:jc w:val="both"/>
      </w:pPr>
      <w:r>
        <w:t>Según lo expuesto anteriormente, a continuación presentamos los escenarios del PRI para Colombia, propuestos por nosotros:</w:t>
      </w:r>
    </w:p>
    <w:p w:rsidR="00375E75" w:rsidRPr="00CF17E8" w:rsidRDefault="00375E75" w:rsidP="00CF17E8">
      <w:pPr>
        <w:pStyle w:val="Prrafodelista"/>
        <w:numPr>
          <w:ilvl w:val="0"/>
          <w:numId w:val="5"/>
        </w:numPr>
        <w:jc w:val="both"/>
        <w:rPr>
          <w:b/>
        </w:rPr>
      </w:pPr>
      <w:r w:rsidRPr="00CF17E8">
        <w:rPr>
          <w:b/>
        </w:rPr>
        <w:t>Interferón Beta 1 B (Betaferon)</w:t>
      </w:r>
    </w:p>
    <w:tbl>
      <w:tblPr>
        <w:tblW w:w="5000" w:type="pct"/>
        <w:tblCellMar>
          <w:left w:w="70" w:type="dxa"/>
          <w:right w:w="70" w:type="dxa"/>
        </w:tblCellMar>
        <w:tblLook w:val="04A0" w:firstRow="1" w:lastRow="0" w:firstColumn="1" w:lastColumn="0" w:noHBand="0" w:noVBand="1"/>
      </w:tblPr>
      <w:tblGrid>
        <w:gridCol w:w="833"/>
        <w:gridCol w:w="1230"/>
        <w:gridCol w:w="699"/>
        <w:gridCol w:w="608"/>
        <w:gridCol w:w="908"/>
        <w:gridCol w:w="145"/>
        <w:gridCol w:w="832"/>
        <w:gridCol w:w="1174"/>
        <w:gridCol w:w="699"/>
        <w:gridCol w:w="608"/>
        <w:gridCol w:w="908"/>
      </w:tblGrid>
      <w:tr w:rsidR="0092378A" w:rsidRPr="0092378A" w:rsidTr="0092378A">
        <w:trPr>
          <w:trHeight w:val="600"/>
        </w:trPr>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País </w:t>
            </w:r>
          </w:p>
        </w:tc>
        <w:tc>
          <w:tcPr>
            <w:tcW w:w="711" w:type="pct"/>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Tipo </w:t>
            </w:r>
          </w:p>
        </w:tc>
        <w:tc>
          <w:tcPr>
            <w:tcW w:w="405" w:type="pct"/>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Precio sin ajuste </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Margen </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Precio Unidad Mínima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País </w:t>
            </w:r>
          </w:p>
        </w:tc>
        <w:tc>
          <w:tcPr>
            <w:tcW w:w="679" w:type="pct"/>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Tipo </w:t>
            </w:r>
          </w:p>
        </w:tc>
        <w:tc>
          <w:tcPr>
            <w:tcW w:w="405" w:type="pct"/>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Precio sin ajuste </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Margen </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Precio Unidad Mínima </w:t>
            </w:r>
          </w:p>
        </w:tc>
      </w:tr>
      <w:tr w:rsidR="0092378A" w:rsidRPr="0092378A" w:rsidTr="0092378A">
        <w:trPr>
          <w:trHeight w:val="285"/>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Australia</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Mayorista</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557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557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Australia</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Mayorista</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557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557   </w:t>
            </w:r>
          </w:p>
        </w:tc>
      </w:tr>
      <w:tr w:rsidR="0092378A" w:rsidRPr="0092378A" w:rsidTr="0092378A">
        <w:trPr>
          <w:trHeight w:val="285"/>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Brasil</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Institucional</w:t>
            </w:r>
          </w:p>
        </w:tc>
        <w:tc>
          <w:tcPr>
            <w:tcW w:w="40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4"/>
                <w:lang w:eastAsia="es-ES"/>
              </w:rPr>
            </w:pPr>
            <w:r w:rsidRPr="0092378A">
              <w:rPr>
                <w:rFonts w:ascii="Arial" w:eastAsia="Times New Roman" w:hAnsi="Arial" w:cs="Arial"/>
                <w:sz w:val="14"/>
                <w:lang w:eastAsia="es-ES"/>
              </w:rPr>
              <w:t xml:space="preserve">          566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566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Brasil</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Institucional</w:t>
            </w:r>
          </w:p>
        </w:tc>
        <w:tc>
          <w:tcPr>
            <w:tcW w:w="40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566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566   </w:t>
            </w:r>
          </w:p>
        </w:tc>
      </w:tr>
      <w:tr w:rsidR="0092378A" w:rsidRPr="0092378A" w:rsidTr="0092378A">
        <w:trPr>
          <w:trHeight w:val="285"/>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Canadá</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Fabricante</w:t>
            </w:r>
          </w:p>
        </w:tc>
        <w:tc>
          <w:tcPr>
            <w:tcW w:w="405"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789   </w:t>
            </w:r>
          </w:p>
        </w:tc>
        <w:tc>
          <w:tcPr>
            <w:tcW w:w="352"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8,00%</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852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Canadá</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REEMBOLSO</w:t>
            </w:r>
          </w:p>
        </w:tc>
        <w:tc>
          <w:tcPr>
            <w:tcW w:w="405"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594   </w:t>
            </w:r>
          </w:p>
        </w:tc>
        <w:tc>
          <w:tcPr>
            <w:tcW w:w="352"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594   </w:t>
            </w:r>
          </w:p>
        </w:tc>
      </w:tr>
      <w:tr w:rsidR="0092378A" w:rsidRPr="0092378A" w:rsidTr="0092378A">
        <w:trPr>
          <w:trHeight w:val="300"/>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Chile</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4"/>
                <w:lang w:eastAsia="es-ES"/>
              </w:rPr>
            </w:pPr>
            <w:r w:rsidRPr="0092378A">
              <w:rPr>
                <w:rFonts w:ascii="Arial" w:eastAsia="Times New Roman" w:hAnsi="Arial" w:cs="Arial"/>
                <w:b/>
                <w:bCs/>
                <w:color w:val="000000"/>
                <w:sz w:val="14"/>
                <w:lang w:eastAsia="es-ES"/>
              </w:rPr>
              <w:t>P. Compra Directa</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791   </w:t>
            </w:r>
          </w:p>
        </w:tc>
        <w:tc>
          <w:tcPr>
            <w:tcW w:w="352"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5,14%</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832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Chile</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Compra Directa</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791   </w:t>
            </w:r>
          </w:p>
        </w:tc>
        <w:tc>
          <w:tcPr>
            <w:tcW w:w="352"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791   </w:t>
            </w:r>
          </w:p>
        </w:tc>
      </w:tr>
      <w:tr w:rsidR="0092378A" w:rsidRPr="0092378A" w:rsidTr="0092378A">
        <w:trPr>
          <w:trHeight w:val="285"/>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EE.UU.</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Institucional</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1.398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1.398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EE.UU.</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Institucional</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1.398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1.398   </w:t>
            </w:r>
          </w:p>
        </w:tc>
      </w:tr>
      <w:tr w:rsidR="0092378A" w:rsidRPr="0092378A" w:rsidTr="0092378A">
        <w:trPr>
          <w:trHeight w:val="285"/>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España</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Fabricante</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533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4,55%</w:t>
            </w:r>
          </w:p>
        </w:tc>
        <w:tc>
          <w:tcPr>
            <w:tcW w:w="52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558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España</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Fabricante</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533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4,55%</w:t>
            </w:r>
          </w:p>
        </w:tc>
        <w:tc>
          <w:tcPr>
            <w:tcW w:w="52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558   </w:t>
            </w:r>
          </w:p>
        </w:tc>
      </w:tr>
      <w:tr w:rsidR="0092378A" w:rsidRPr="0092378A" w:rsidTr="0092378A">
        <w:trPr>
          <w:trHeight w:val="285"/>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Francia</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Fabricante</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501   </w:t>
            </w:r>
          </w:p>
        </w:tc>
        <w:tc>
          <w:tcPr>
            <w:tcW w:w="352"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5,14%</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527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Francia</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Fabricante</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501   </w:t>
            </w:r>
          </w:p>
        </w:tc>
        <w:tc>
          <w:tcPr>
            <w:tcW w:w="352"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5,57%</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529   </w:t>
            </w:r>
          </w:p>
        </w:tc>
      </w:tr>
      <w:tr w:rsidR="0092378A" w:rsidRPr="0092378A" w:rsidTr="0092378A">
        <w:trPr>
          <w:trHeight w:val="285"/>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México</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Institucional</w:t>
            </w:r>
          </w:p>
        </w:tc>
        <w:tc>
          <w:tcPr>
            <w:tcW w:w="40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842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842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México</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Institucional</w:t>
            </w:r>
          </w:p>
        </w:tc>
        <w:tc>
          <w:tcPr>
            <w:tcW w:w="40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842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842   </w:t>
            </w:r>
          </w:p>
        </w:tc>
      </w:tr>
      <w:tr w:rsidR="0092378A" w:rsidRPr="0092378A" w:rsidTr="0092378A">
        <w:trPr>
          <w:trHeight w:val="285"/>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Noruega</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Reemb. Farm</w:t>
            </w:r>
          </w:p>
        </w:tc>
        <w:tc>
          <w:tcPr>
            <w:tcW w:w="405"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sz w:val="14"/>
                <w:lang w:eastAsia="es-ES"/>
              </w:rPr>
            </w:pPr>
            <w:r w:rsidRPr="0092378A">
              <w:rPr>
                <w:rFonts w:ascii="Arial" w:eastAsia="Times New Roman" w:hAnsi="Arial" w:cs="Arial"/>
                <w:sz w:val="14"/>
                <w:lang w:eastAsia="es-ES"/>
              </w:rPr>
              <w:t xml:space="preserve">          592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592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Noruega</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MAYORISTA</w:t>
            </w:r>
          </w:p>
        </w:tc>
        <w:tc>
          <w:tcPr>
            <w:tcW w:w="405"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453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0,00%</w:t>
            </w:r>
          </w:p>
        </w:tc>
        <w:tc>
          <w:tcPr>
            <w:tcW w:w="525"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453   </w:t>
            </w:r>
          </w:p>
        </w:tc>
      </w:tr>
      <w:tr w:rsidR="0092378A" w:rsidRPr="0092378A" w:rsidTr="0092378A">
        <w:trPr>
          <w:trHeight w:val="285"/>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lastRenderedPageBreak/>
              <w:t>Perú</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Consumidor</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1.310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-20,00%</w:t>
            </w:r>
          </w:p>
        </w:tc>
        <w:tc>
          <w:tcPr>
            <w:tcW w:w="52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1.048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Perú</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Consumidor</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1.310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-20,00%</w:t>
            </w:r>
          </w:p>
        </w:tc>
        <w:tc>
          <w:tcPr>
            <w:tcW w:w="52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1.048   </w:t>
            </w:r>
          </w:p>
        </w:tc>
      </w:tr>
      <w:tr w:rsidR="0092378A" w:rsidRPr="0092378A" w:rsidTr="0092378A">
        <w:trPr>
          <w:trHeight w:val="300"/>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Portugal</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4"/>
                <w:lang w:eastAsia="es-ES"/>
              </w:rPr>
            </w:pPr>
            <w:r w:rsidRPr="0092378A">
              <w:rPr>
                <w:rFonts w:ascii="Arial" w:eastAsia="Times New Roman" w:hAnsi="Arial" w:cs="Arial"/>
                <w:b/>
                <w:bCs/>
                <w:color w:val="000000"/>
                <w:sz w:val="14"/>
                <w:lang w:eastAsia="es-ES"/>
              </w:rPr>
              <w:t>P. Compra Directa</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522   </w:t>
            </w:r>
          </w:p>
        </w:tc>
        <w:tc>
          <w:tcPr>
            <w:tcW w:w="352"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5,14%</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549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Portugal</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Compra Directa</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522   </w:t>
            </w:r>
          </w:p>
        </w:tc>
        <w:tc>
          <w:tcPr>
            <w:tcW w:w="352" w:type="pct"/>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-16,67%</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435   </w:t>
            </w:r>
          </w:p>
        </w:tc>
      </w:tr>
      <w:tr w:rsidR="0092378A" w:rsidRPr="0092378A" w:rsidTr="0092378A">
        <w:trPr>
          <w:trHeight w:val="285"/>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Reino Unido</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Fabricante</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452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12,50%</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508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Reino Unido</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P. Fabricante</w:t>
            </w:r>
          </w:p>
        </w:tc>
        <w:tc>
          <w:tcPr>
            <w:tcW w:w="405"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452   </w:t>
            </w:r>
          </w:p>
        </w:tc>
        <w:tc>
          <w:tcPr>
            <w:tcW w:w="352"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12,50%</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4"/>
                <w:lang w:eastAsia="es-ES"/>
              </w:rPr>
            </w:pPr>
            <w:r w:rsidRPr="0092378A">
              <w:rPr>
                <w:rFonts w:ascii="Arial" w:eastAsia="Times New Roman" w:hAnsi="Arial" w:cs="Arial"/>
                <w:color w:val="000000"/>
                <w:sz w:val="14"/>
                <w:lang w:eastAsia="es-ES"/>
              </w:rPr>
              <w:t xml:space="preserve">                508   </w:t>
            </w:r>
          </w:p>
        </w:tc>
      </w:tr>
      <w:tr w:rsidR="0092378A" w:rsidRPr="0092378A" w:rsidTr="0092378A">
        <w:trPr>
          <w:trHeight w:val="300"/>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4"/>
                <w:lang w:eastAsia="es-ES"/>
              </w:rPr>
            </w:pPr>
            <w:r w:rsidRPr="0092378A">
              <w:rPr>
                <w:rFonts w:ascii="Arial" w:eastAsia="Times New Roman" w:hAnsi="Arial" w:cs="Arial"/>
                <w:b/>
                <w:bCs/>
                <w:color w:val="000000"/>
                <w:sz w:val="14"/>
                <w:lang w:eastAsia="es-ES"/>
              </w:rPr>
              <w:t>PRI</w:t>
            </w:r>
          </w:p>
        </w:tc>
        <w:tc>
          <w:tcPr>
            <w:tcW w:w="711"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4"/>
                <w:lang w:eastAsia="es-ES"/>
              </w:rPr>
            </w:pPr>
            <w:r w:rsidRPr="0092378A">
              <w:rPr>
                <w:rFonts w:ascii="Arial" w:eastAsia="Times New Roman" w:hAnsi="Arial" w:cs="Arial"/>
                <w:b/>
                <w:bCs/>
                <w:color w:val="000000"/>
                <w:sz w:val="14"/>
                <w:lang w:eastAsia="es-ES"/>
              </w:rPr>
              <w:t> </w:t>
            </w:r>
          </w:p>
        </w:tc>
        <w:tc>
          <w:tcPr>
            <w:tcW w:w="40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b/>
                <w:bCs/>
                <w:color w:val="000000"/>
                <w:sz w:val="14"/>
                <w:lang w:eastAsia="es-ES"/>
              </w:rPr>
            </w:pPr>
            <w:r w:rsidRPr="0092378A">
              <w:rPr>
                <w:rFonts w:ascii="Arial" w:eastAsia="Times New Roman" w:hAnsi="Arial" w:cs="Arial"/>
                <w:b/>
                <w:bCs/>
                <w:color w:val="000000"/>
                <w:sz w:val="14"/>
                <w:lang w:eastAsia="es-ES"/>
              </w:rPr>
              <w:t xml:space="preserve">          531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4"/>
                <w:lang w:eastAsia="es-ES"/>
              </w:rPr>
            </w:pPr>
            <w:r w:rsidRPr="0092378A">
              <w:rPr>
                <w:rFonts w:ascii="Arial" w:eastAsia="Times New Roman" w:hAnsi="Arial" w:cs="Arial"/>
                <w:b/>
                <w:bCs/>
                <w:color w:val="000000"/>
                <w:sz w:val="14"/>
                <w:lang w:eastAsia="es-ES"/>
              </w:rPr>
              <w:t> </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b/>
                <w:bCs/>
                <w:color w:val="000000"/>
                <w:sz w:val="14"/>
                <w:lang w:eastAsia="es-ES"/>
              </w:rPr>
            </w:pPr>
            <w:r w:rsidRPr="0092378A">
              <w:rPr>
                <w:rFonts w:ascii="Arial" w:eastAsia="Times New Roman" w:hAnsi="Arial" w:cs="Arial"/>
                <w:b/>
                <w:bCs/>
                <w:color w:val="000000"/>
                <w:sz w:val="14"/>
                <w:lang w:eastAsia="es-ES"/>
              </w:rPr>
              <w:t xml:space="preserve">                555   </w:t>
            </w:r>
          </w:p>
        </w:tc>
        <w:tc>
          <w:tcPr>
            <w:tcW w:w="84" w:type="pct"/>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p>
        </w:tc>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4"/>
                <w:lang w:eastAsia="es-ES"/>
              </w:rPr>
            </w:pPr>
            <w:r w:rsidRPr="0092378A">
              <w:rPr>
                <w:rFonts w:ascii="Arial" w:eastAsia="Times New Roman" w:hAnsi="Arial" w:cs="Arial"/>
                <w:b/>
                <w:bCs/>
                <w:color w:val="000000"/>
                <w:sz w:val="14"/>
                <w:lang w:eastAsia="es-ES"/>
              </w:rPr>
              <w:t>PRI</w:t>
            </w:r>
          </w:p>
        </w:tc>
        <w:tc>
          <w:tcPr>
            <w:tcW w:w="679"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 </w:t>
            </w:r>
          </w:p>
        </w:tc>
        <w:tc>
          <w:tcPr>
            <w:tcW w:w="40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b/>
                <w:bCs/>
                <w:color w:val="000000"/>
                <w:sz w:val="14"/>
                <w:lang w:eastAsia="es-ES"/>
              </w:rPr>
            </w:pPr>
            <w:r w:rsidRPr="0092378A">
              <w:rPr>
                <w:rFonts w:ascii="Arial" w:eastAsia="Times New Roman" w:hAnsi="Arial" w:cs="Arial"/>
                <w:b/>
                <w:bCs/>
                <w:color w:val="000000"/>
                <w:sz w:val="14"/>
                <w:lang w:eastAsia="es-ES"/>
              </w:rPr>
              <w:t xml:space="preserve">          517   </w:t>
            </w:r>
          </w:p>
        </w:tc>
        <w:tc>
          <w:tcPr>
            <w:tcW w:w="352" w:type="pct"/>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4"/>
                <w:lang w:eastAsia="es-ES"/>
              </w:rPr>
            </w:pPr>
            <w:r w:rsidRPr="0092378A">
              <w:rPr>
                <w:rFonts w:ascii="Arial" w:eastAsia="Times New Roman" w:hAnsi="Arial" w:cs="Arial"/>
                <w:color w:val="000000"/>
                <w:sz w:val="14"/>
                <w:lang w:eastAsia="es-ES"/>
              </w:rPr>
              <w:t> </w:t>
            </w:r>
          </w:p>
        </w:tc>
        <w:tc>
          <w:tcPr>
            <w:tcW w:w="525" w:type="pct"/>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b/>
                <w:bCs/>
                <w:color w:val="000000"/>
                <w:sz w:val="14"/>
                <w:lang w:eastAsia="es-ES"/>
              </w:rPr>
            </w:pPr>
            <w:r w:rsidRPr="0092378A">
              <w:rPr>
                <w:rFonts w:ascii="Arial" w:eastAsia="Times New Roman" w:hAnsi="Arial" w:cs="Arial"/>
                <w:b/>
                <w:bCs/>
                <w:color w:val="000000"/>
                <w:sz w:val="14"/>
                <w:lang w:eastAsia="es-ES"/>
              </w:rPr>
              <w:t xml:space="preserve">                524   </w:t>
            </w:r>
          </w:p>
        </w:tc>
      </w:tr>
    </w:tbl>
    <w:p w:rsidR="00375E75" w:rsidRDefault="00375E75" w:rsidP="002A4FC6">
      <w:pPr>
        <w:jc w:val="both"/>
      </w:pPr>
    </w:p>
    <w:p w:rsidR="00CF17E8" w:rsidRPr="00CF17E8" w:rsidRDefault="00CF17E8" w:rsidP="00CF17E8">
      <w:pPr>
        <w:pStyle w:val="Prrafodelista"/>
        <w:numPr>
          <w:ilvl w:val="0"/>
          <w:numId w:val="5"/>
        </w:numPr>
        <w:jc w:val="both"/>
        <w:rPr>
          <w:b/>
        </w:rPr>
      </w:pPr>
      <w:r>
        <w:rPr>
          <w:b/>
        </w:rPr>
        <w:t>Sorafenib</w:t>
      </w:r>
      <w:r w:rsidRPr="00CF17E8">
        <w:rPr>
          <w:b/>
        </w:rPr>
        <w:t xml:space="preserve"> (</w:t>
      </w:r>
      <w:r>
        <w:rPr>
          <w:b/>
        </w:rPr>
        <w:t>Nexavar</w:t>
      </w:r>
      <w:r w:rsidRPr="00CF17E8">
        <w:rPr>
          <w:b/>
        </w:rPr>
        <w:t>)</w:t>
      </w:r>
    </w:p>
    <w:tbl>
      <w:tblPr>
        <w:tblW w:w="0" w:type="auto"/>
        <w:tblCellMar>
          <w:left w:w="70" w:type="dxa"/>
          <w:right w:w="70" w:type="dxa"/>
        </w:tblCellMar>
        <w:tblLook w:val="04A0" w:firstRow="1" w:lastRow="0" w:firstColumn="1" w:lastColumn="0" w:noHBand="0" w:noVBand="1"/>
      </w:tblPr>
      <w:tblGrid>
        <w:gridCol w:w="801"/>
        <w:gridCol w:w="1181"/>
        <w:gridCol w:w="811"/>
        <w:gridCol w:w="587"/>
        <w:gridCol w:w="963"/>
        <w:gridCol w:w="146"/>
        <w:gridCol w:w="801"/>
        <w:gridCol w:w="994"/>
        <w:gridCol w:w="832"/>
        <w:gridCol w:w="587"/>
        <w:gridCol w:w="941"/>
      </w:tblGrid>
      <w:tr w:rsidR="0092378A" w:rsidRPr="0092378A" w:rsidTr="0092378A">
        <w:trPr>
          <w:trHeight w:val="8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País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Tipo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Precio sin ajuste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Margen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Precio Unidad Mínima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País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Tipo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Precio sin ajuste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Margen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Precio Unidad Mínima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Australia</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487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4,87%</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511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Australia</w:t>
            </w:r>
          </w:p>
        </w:tc>
        <w:tc>
          <w:tcPr>
            <w:tcW w:w="0" w:type="auto"/>
            <w:tcBorders>
              <w:top w:val="nil"/>
              <w:left w:val="nil"/>
              <w:bottom w:val="single" w:sz="4" w:space="0" w:color="auto"/>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487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4,87%</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511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Brasil</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Institucional</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295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295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Brasil</w:t>
            </w:r>
          </w:p>
        </w:tc>
        <w:tc>
          <w:tcPr>
            <w:tcW w:w="0" w:type="auto"/>
            <w:tcBorders>
              <w:top w:val="nil"/>
              <w:left w:val="nil"/>
              <w:bottom w:val="single" w:sz="4" w:space="0" w:color="auto"/>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Institucional</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295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295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EE.UU.</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Institucional</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567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567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EE.UU.</w:t>
            </w:r>
          </w:p>
        </w:tc>
        <w:tc>
          <w:tcPr>
            <w:tcW w:w="0" w:type="auto"/>
            <w:tcBorders>
              <w:top w:val="nil"/>
              <w:left w:val="nil"/>
              <w:bottom w:val="single" w:sz="4" w:space="0" w:color="auto"/>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Institucional</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567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567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España</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352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5,14%</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370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España</w:t>
            </w:r>
          </w:p>
        </w:tc>
        <w:tc>
          <w:tcPr>
            <w:tcW w:w="0" w:type="auto"/>
            <w:tcBorders>
              <w:top w:val="nil"/>
              <w:left w:val="nil"/>
              <w:bottom w:val="single" w:sz="4" w:space="0" w:color="auto"/>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352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1,44%</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357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Francia</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333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5,14%</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350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Francia</w:t>
            </w:r>
          </w:p>
        </w:tc>
        <w:tc>
          <w:tcPr>
            <w:tcW w:w="0" w:type="auto"/>
            <w:tcBorders>
              <w:top w:val="nil"/>
              <w:left w:val="nil"/>
              <w:bottom w:val="single" w:sz="4" w:space="0" w:color="auto"/>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333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3,57%</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345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México</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Institucional</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295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295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México</w:t>
            </w:r>
          </w:p>
        </w:tc>
        <w:tc>
          <w:tcPr>
            <w:tcW w:w="0" w:type="auto"/>
            <w:tcBorders>
              <w:top w:val="nil"/>
              <w:left w:val="nil"/>
              <w:bottom w:val="single" w:sz="4" w:space="0" w:color="auto"/>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Institucional</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295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295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Noruega</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Reemb. Farm</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color w:val="FF0000"/>
                <w:sz w:val="12"/>
                <w:lang w:eastAsia="es-ES"/>
              </w:rPr>
            </w:pPr>
            <w:r w:rsidRPr="0092378A">
              <w:rPr>
                <w:rFonts w:ascii="Arial" w:eastAsia="Times New Roman" w:hAnsi="Arial" w:cs="Arial"/>
                <w:color w:val="FF0000"/>
                <w:sz w:val="12"/>
                <w:lang w:eastAsia="es-ES"/>
              </w:rPr>
              <w:t xml:space="preserve">          543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543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Noruega</w:t>
            </w:r>
          </w:p>
        </w:tc>
        <w:tc>
          <w:tcPr>
            <w:tcW w:w="0" w:type="auto"/>
            <w:tcBorders>
              <w:top w:val="nil"/>
              <w:left w:val="nil"/>
              <w:bottom w:val="nil"/>
              <w:right w:val="nil"/>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MAYORISTA</w:t>
            </w:r>
          </w:p>
        </w:tc>
        <w:tc>
          <w:tcPr>
            <w:tcW w:w="0" w:type="auto"/>
            <w:tcBorders>
              <w:top w:val="nil"/>
              <w:left w:val="single" w:sz="4" w:space="0" w:color="auto"/>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417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417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Perú</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Consumidor</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599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-20,00%</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483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Perú</w:t>
            </w:r>
          </w:p>
        </w:tc>
        <w:tc>
          <w:tcPr>
            <w:tcW w:w="0" w:type="auto"/>
            <w:tcBorders>
              <w:top w:val="single" w:sz="4" w:space="0" w:color="auto"/>
              <w:left w:val="nil"/>
              <w:bottom w:val="single" w:sz="4" w:space="0" w:color="auto"/>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Consumidor</w:t>
            </w: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599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-20,00%</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483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Reino Unido</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378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12,50%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425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Reino Unido</w:t>
            </w:r>
          </w:p>
        </w:tc>
        <w:tc>
          <w:tcPr>
            <w:tcW w:w="0" w:type="auto"/>
            <w:tcBorders>
              <w:top w:val="nil"/>
              <w:left w:val="nil"/>
              <w:bottom w:val="single" w:sz="4" w:space="0" w:color="auto"/>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378   </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12,50%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425   </w:t>
            </w:r>
          </w:p>
        </w:tc>
      </w:tr>
      <w:tr w:rsidR="0092378A" w:rsidRPr="0092378A" w:rsidTr="0092378A">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Canadá</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412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8,00%</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445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PRI</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xml:space="preserve">           333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xml:space="preserve">           345   </w:t>
            </w:r>
          </w:p>
        </w:tc>
      </w:tr>
      <w:tr w:rsidR="0092378A" w:rsidRPr="0092378A" w:rsidTr="0092378A">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Uruguay</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P. Compra Directa</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488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5,14%</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513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Ecuador</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Consumidor</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545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-15,00%</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463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r>
      <w:tr w:rsidR="0092378A" w:rsidRPr="0092378A" w:rsidTr="0092378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PRI</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xml:space="preserve">          347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xml:space="preserve">            365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r>
    </w:tbl>
    <w:p w:rsidR="00CF17E8" w:rsidRDefault="00CF17E8" w:rsidP="002A4FC6">
      <w:pPr>
        <w:jc w:val="both"/>
      </w:pPr>
    </w:p>
    <w:p w:rsidR="00CF17E8" w:rsidRPr="00CF17E8" w:rsidRDefault="00CF17E8" w:rsidP="00CF17E8">
      <w:pPr>
        <w:pStyle w:val="Prrafodelista"/>
        <w:numPr>
          <w:ilvl w:val="0"/>
          <w:numId w:val="5"/>
        </w:numPr>
        <w:jc w:val="both"/>
        <w:rPr>
          <w:b/>
        </w:rPr>
      </w:pPr>
      <w:r>
        <w:rPr>
          <w:b/>
        </w:rPr>
        <w:t>Iloprost</w:t>
      </w:r>
      <w:r w:rsidRPr="00CF17E8">
        <w:rPr>
          <w:b/>
        </w:rPr>
        <w:t xml:space="preserve"> (</w:t>
      </w:r>
      <w:r>
        <w:rPr>
          <w:b/>
        </w:rPr>
        <w:t>Ventavis</w:t>
      </w:r>
      <w:r w:rsidRPr="00CF17E8">
        <w:rPr>
          <w:b/>
        </w:rPr>
        <w:t>)</w:t>
      </w:r>
    </w:p>
    <w:tbl>
      <w:tblPr>
        <w:tblW w:w="0" w:type="auto"/>
        <w:tblCellMar>
          <w:left w:w="70" w:type="dxa"/>
          <w:right w:w="70" w:type="dxa"/>
        </w:tblCellMar>
        <w:tblLook w:val="04A0" w:firstRow="1" w:lastRow="0" w:firstColumn="1" w:lastColumn="0" w:noHBand="0" w:noVBand="1"/>
      </w:tblPr>
      <w:tblGrid>
        <w:gridCol w:w="799"/>
        <w:gridCol w:w="1179"/>
        <w:gridCol w:w="1013"/>
        <w:gridCol w:w="586"/>
        <w:gridCol w:w="1189"/>
        <w:gridCol w:w="146"/>
        <w:gridCol w:w="800"/>
        <w:gridCol w:w="932"/>
        <w:gridCol w:w="707"/>
        <w:gridCol w:w="586"/>
        <w:gridCol w:w="707"/>
      </w:tblGrid>
      <w:tr w:rsidR="0092378A" w:rsidRPr="0092378A" w:rsidTr="0092378A">
        <w:trPr>
          <w:trHeight w:val="300"/>
        </w:trPr>
        <w:tc>
          <w:tcPr>
            <w:tcW w:w="0" w:type="auto"/>
            <w:gridSpan w:val="5"/>
            <w:tcBorders>
              <w:top w:val="nil"/>
              <w:left w:val="nil"/>
              <w:bottom w:val="nil"/>
              <w:right w:val="nil"/>
            </w:tcBorders>
            <w:shd w:val="clear" w:color="auto" w:fill="auto"/>
            <w:noWrap/>
            <w:vAlign w:val="bottom"/>
            <w:hideMark/>
          </w:tcPr>
          <w:p w:rsidR="0092378A" w:rsidRPr="0092378A" w:rsidRDefault="0092378A" w:rsidP="0092378A">
            <w:pPr>
              <w:spacing w:after="0" w:line="240" w:lineRule="auto"/>
              <w:jc w:val="center"/>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Precios validados por Bayer Colombia - Factores de ajuste propuestos por Bayer</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gridSpan w:val="5"/>
            <w:tcBorders>
              <w:top w:val="nil"/>
              <w:left w:val="nil"/>
              <w:bottom w:val="nil"/>
              <w:right w:val="nil"/>
            </w:tcBorders>
            <w:shd w:val="clear" w:color="auto" w:fill="auto"/>
            <w:noWrap/>
            <w:vAlign w:val="bottom"/>
            <w:hideMark/>
          </w:tcPr>
          <w:p w:rsidR="0092378A" w:rsidRPr="0092378A" w:rsidRDefault="0092378A" w:rsidP="0092378A">
            <w:pPr>
              <w:spacing w:after="0" w:line="240" w:lineRule="auto"/>
              <w:jc w:val="center"/>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Precios MPS - Circular 04 de 2013</w:t>
            </w:r>
          </w:p>
        </w:tc>
      </w:tr>
      <w:tr w:rsidR="0092378A" w:rsidRPr="0092378A" w:rsidTr="0092378A">
        <w:trPr>
          <w:trHeight w:val="285"/>
        </w:trPr>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r>
      <w:tr w:rsidR="0092378A" w:rsidRPr="0092378A" w:rsidTr="0092378A">
        <w:trPr>
          <w:trHeight w:val="8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País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Tipo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Precio sin ajuste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Margen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Precio Unidad Mínima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País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Tipo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Precio sin ajuste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Margen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2378A" w:rsidRPr="0092378A" w:rsidRDefault="0092378A" w:rsidP="0092378A">
            <w:pPr>
              <w:spacing w:after="0" w:line="240" w:lineRule="auto"/>
              <w:jc w:val="center"/>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Precio Unidad Mínima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Australia</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3.322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4,33%</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3.466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Australia</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3.322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4,33%</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3.466   </w:t>
            </w:r>
          </w:p>
        </w:tc>
      </w:tr>
      <w:tr w:rsidR="0092378A" w:rsidRPr="0092378A" w:rsidTr="0092378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Chile</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P. Compra Directa</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2.658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5,14%</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2.795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Chile</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Institucional</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2.658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2.658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EE.UU.</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Institucional</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5.382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0,00%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5.382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EE.UU.</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Institucional</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5.382   </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5.382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España</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3.650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5,14%</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3.837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España</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3.650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0,53%</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3.669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Noruega</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sz w:val="12"/>
                <w:lang w:eastAsia="es-ES"/>
              </w:rPr>
            </w:pPr>
            <w:r w:rsidRPr="0092378A">
              <w:rPr>
                <w:rFonts w:ascii="Arial" w:eastAsia="Times New Roman" w:hAnsi="Arial" w:cs="Arial"/>
                <w:sz w:val="12"/>
                <w:lang w:eastAsia="es-ES"/>
              </w:rPr>
              <w:t>P. Recob. Farm.</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6.904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0,00%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6.904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Noruega</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Mayorista</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3.452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3.452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Perú</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Consumidor</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5.525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-20,00%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4.420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Perú</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Consumidor</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5.525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-20,00%</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4.420   </w:t>
            </w:r>
          </w:p>
        </w:tc>
      </w:tr>
      <w:tr w:rsidR="0092378A" w:rsidRPr="0092378A" w:rsidTr="0092378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Portugal</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P. Compra Directa</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3.007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5,14%</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3.161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Portugal</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Consumidor</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3.007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-16,67%</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2.506   </w:t>
            </w:r>
          </w:p>
        </w:tc>
      </w:tr>
      <w:tr w:rsidR="0092378A" w:rsidRPr="0092378A" w:rsidTr="0092378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Reino Unido</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3.785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12,50%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4.258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Reino Unido</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Fabricante</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3.785   </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12,50%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4.258   </w:t>
            </w:r>
          </w:p>
        </w:tc>
      </w:tr>
      <w:tr w:rsidR="0092378A" w:rsidRPr="0092378A" w:rsidTr="0092378A">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sz w:val="12"/>
                <w:lang w:eastAsia="es-ES"/>
              </w:rPr>
            </w:pPr>
            <w:r w:rsidRPr="0092378A">
              <w:rPr>
                <w:rFonts w:ascii="Arial" w:eastAsia="Times New Roman" w:hAnsi="Arial" w:cs="Arial"/>
                <w:sz w:val="12"/>
                <w:lang w:eastAsia="es-ES"/>
              </w:rPr>
              <w:t>Uruguay</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P. Compra Directa</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4.568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5,14%</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sz w:val="12"/>
                <w:lang w:eastAsia="es-ES"/>
              </w:rPr>
            </w:pPr>
            <w:r w:rsidRPr="0092378A">
              <w:rPr>
                <w:rFonts w:ascii="Arial" w:eastAsia="Times New Roman" w:hAnsi="Arial" w:cs="Arial"/>
                <w:sz w:val="12"/>
                <w:lang w:eastAsia="es-ES"/>
              </w:rPr>
              <w:t xml:space="preserve">                4.803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sz w:val="12"/>
                <w:lang w:eastAsia="es-ES"/>
              </w:rPr>
            </w:pPr>
            <w:r w:rsidRPr="0092378A">
              <w:rPr>
                <w:rFonts w:ascii="Arial" w:eastAsia="Times New Roman" w:hAnsi="Arial" w:cs="Arial"/>
                <w:sz w:val="12"/>
                <w:lang w:eastAsia="es-ES"/>
              </w:rPr>
              <w:t>Uruguay</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r w:rsidRPr="0092378A">
              <w:rPr>
                <w:rFonts w:ascii="Arial" w:eastAsia="Times New Roman" w:hAnsi="Arial" w:cs="Arial"/>
                <w:color w:val="000000"/>
                <w:sz w:val="12"/>
                <w:lang w:eastAsia="es-ES"/>
              </w:rPr>
              <w:t>P. Institucional</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4.568   </w:t>
            </w:r>
          </w:p>
        </w:tc>
        <w:tc>
          <w:tcPr>
            <w:tcW w:w="0" w:type="auto"/>
            <w:tcBorders>
              <w:top w:val="nil"/>
              <w:left w:val="nil"/>
              <w:bottom w:val="single" w:sz="4" w:space="0" w:color="auto"/>
              <w:right w:val="single" w:sz="4" w:space="0" w:color="auto"/>
            </w:tcBorders>
            <w:shd w:val="clear" w:color="000000" w:fill="FFFFCC"/>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0,00%</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color w:val="000000"/>
                <w:sz w:val="12"/>
                <w:lang w:eastAsia="es-ES"/>
              </w:rPr>
            </w:pPr>
            <w:r w:rsidRPr="0092378A">
              <w:rPr>
                <w:rFonts w:ascii="Arial" w:eastAsia="Times New Roman" w:hAnsi="Arial" w:cs="Arial"/>
                <w:color w:val="000000"/>
                <w:sz w:val="12"/>
                <w:lang w:eastAsia="es-ES"/>
              </w:rPr>
              <w:t xml:space="preserve">        4.568   </w:t>
            </w:r>
          </w:p>
        </w:tc>
      </w:tr>
      <w:tr w:rsidR="0092378A" w:rsidRPr="0092378A" w:rsidTr="0092378A">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b/>
                <w:bCs/>
                <w:sz w:val="12"/>
                <w:lang w:eastAsia="es-ES"/>
              </w:rPr>
            </w:pPr>
            <w:r w:rsidRPr="0092378A">
              <w:rPr>
                <w:rFonts w:ascii="Arial" w:eastAsia="Times New Roman" w:hAnsi="Arial" w:cs="Arial"/>
                <w:b/>
                <w:bCs/>
                <w:sz w:val="12"/>
                <w:lang w:eastAsia="es-ES"/>
              </w:rPr>
              <w:t>PRI</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b/>
                <w:bCs/>
                <w:sz w:val="12"/>
                <w:lang w:eastAsia="es-ES"/>
              </w:rPr>
            </w:pPr>
            <w:r w:rsidRPr="0092378A">
              <w:rPr>
                <w:rFonts w:ascii="Arial" w:eastAsia="Times New Roman" w:hAnsi="Arial" w:cs="Arial"/>
                <w:b/>
                <w:bCs/>
                <w:sz w:val="12"/>
                <w:lang w:eastAsia="es-ES"/>
              </w:rPr>
              <w:t> </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b/>
                <w:bCs/>
                <w:sz w:val="12"/>
                <w:lang w:eastAsia="es-ES"/>
              </w:rPr>
            </w:pPr>
            <w:r w:rsidRPr="0092378A">
              <w:rPr>
                <w:rFonts w:ascii="Arial" w:eastAsia="Times New Roman" w:hAnsi="Arial" w:cs="Arial"/>
                <w:b/>
                <w:bCs/>
                <w:sz w:val="12"/>
                <w:lang w:eastAsia="es-ES"/>
              </w:rPr>
              <w:t xml:space="preserve">         3.322   </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sz w:val="12"/>
                <w:lang w:eastAsia="es-ES"/>
              </w:rPr>
            </w:pPr>
            <w:r w:rsidRPr="0092378A">
              <w:rPr>
                <w:rFonts w:ascii="Arial" w:eastAsia="Times New Roman" w:hAnsi="Arial" w:cs="Arial"/>
                <w:sz w:val="12"/>
                <w:lang w:eastAsia="es-ES"/>
              </w:rPr>
              <w:t> </w:t>
            </w:r>
          </w:p>
        </w:tc>
        <w:tc>
          <w:tcPr>
            <w:tcW w:w="0" w:type="auto"/>
            <w:tcBorders>
              <w:top w:val="nil"/>
              <w:left w:val="nil"/>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jc w:val="right"/>
              <w:rPr>
                <w:rFonts w:ascii="Arial" w:eastAsia="Times New Roman" w:hAnsi="Arial" w:cs="Arial"/>
                <w:b/>
                <w:bCs/>
                <w:sz w:val="12"/>
                <w:lang w:eastAsia="es-ES"/>
              </w:rPr>
            </w:pPr>
            <w:r w:rsidRPr="0092378A">
              <w:rPr>
                <w:rFonts w:ascii="Arial" w:eastAsia="Times New Roman" w:hAnsi="Arial" w:cs="Arial"/>
                <w:b/>
                <w:bCs/>
                <w:sz w:val="12"/>
                <w:lang w:eastAsia="es-ES"/>
              </w:rPr>
              <w:t xml:space="preserve">                3.466   </w:t>
            </w:r>
          </w:p>
        </w:tc>
        <w:tc>
          <w:tcPr>
            <w:tcW w:w="0" w:type="auto"/>
            <w:tcBorders>
              <w:top w:val="nil"/>
              <w:left w:val="nil"/>
              <w:bottom w:val="nil"/>
              <w:right w:val="nil"/>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color w:val="000000"/>
                <w:sz w:val="12"/>
                <w:lang w:eastAsia="es-ES"/>
              </w:rPr>
            </w:pPr>
          </w:p>
        </w:tc>
        <w:tc>
          <w:tcPr>
            <w:tcW w:w="0" w:type="auto"/>
            <w:tcBorders>
              <w:top w:val="nil"/>
              <w:left w:val="single" w:sz="4" w:space="0" w:color="auto"/>
              <w:bottom w:val="single" w:sz="4" w:space="0" w:color="auto"/>
              <w:right w:val="single" w:sz="4" w:space="0" w:color="auto"/>
            </w:tcBorders>
            <w:shd w:val="clear" w:color="000000" w:fill="FFFFFF"/>
            <w:noWrap/>
            <w:vAlign w:val="bottom"/>
            <w:hideMark/>
          </w:tcPr>
          <w:p w:rsidR="0092378A" w:rsidRPr="0092378A" w:rsidRDefault="0092378A" w:rsidP="0092378A">
            <w:pPr>
              <w:spacing w:after="0" w:line="240" w:lineRule="auto"/>
              <w:rPr>
                <w:rFonts w:ascii="Arial" w:eastAsia="Times New Roman" w:hAnsi="Arial" w:cs="Arial"/>
                <w:b/>
                <w:bCs/>
                <w:sz w:val="12"/>
                <w:lang w:eastAsia="es-ES"/>
              </w:rPr>
            </w:pPr>
            <w:r w:rsidRPr="0092378A">
              <w:rPr>
                <w:rFonts w:ascii="Arial" w:eastAsia="Times New Roman" w:hAnsi="Arial" w:cs="Arial"/>
                <w:b/>
                <w:bCs/>
                <w:sz w:val="12"/>
                <w:lang w:eastAsia="es-ES"/>
              </w:rPr>
              <w:t>PRI</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xml:space="preserve">        3.322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w:t>
            </w:r>
          </w:p>
        </w:tc>
        <w:tc>
          <w:tcPr>
            <w:tcW w:w="0" w:type="auto"/>
            <w:tcBorders>
              <w:top w:val="nil"/>
              <w:left w:val="nil"/>
              <w:bottom w:val="single" w:sz="4" w:space="0" w:color="auto"/>
              <w:right w:val="single" w:sz="4" w:space="0" w:color="auto"/>
            </w:tcBorders>
            <w:shd w:val="clear" w:color="auto" w:fill="auto"/>
            <w:noWrap/>
            <w:vAlign w:val="bottom"/>
            <w:hideMark/>
          </w:tcPr>
          <w:p w:rsidR="0092378A" w:rsidRPr="0092378A" w:rsidRDefault="0092378A" w:rsidP="0092378A">
            <w:pPr>
              <w:spacing w:after="0" w:line="240" w:lineRule="auto"/>
              <w:jc w:val="right"/>
              <w:rPr>
                <w:rFonts w:ascii="Arial" w:eastAsia="Times New Roman" w:hAnsi="Arial" w:cs="Arial"/>
                <w:b/>
                <w:bCs/>
                <w:color w:val="000000"/>
                <w:sz w:val="12"/>
                <w:lang w:eastAsia="es-ES"/>
              </w:rPr>
            </w:pPr>
            <w:r w:rsidRPr="0092378A">
              <w:rPr>
                <w:rFonts w:ascii="Arial" w:eastAsia="Times New Roman" w:hAnsi="Arial" w:cs="Arial"/>
                <w:b/>
                <w:bCs/>
                <w:color w:val="000000"/>
                <w:sz w:val="12"/>
                <w:lang w:eastAsia="es-ES"/>
              </w:rPr>
              <w:t xml:space="preserve">        3.452   </w:t>
            </w:r>
          </w:p>
        </w:tc>
      </w:tr>
    </w:tbl>
    <w:p w:rsidR="00375E75" w:rsidRDefault="00375E75" w:rsidP="002A4FC6">
      <w:pPr>
        <w:jc w:val="both"/>
      </w:pPr>
    </w:p>
    <w:p w:rsidR="003C7BD1" w:rsidRPr="006A0D59" w:rsidRDefault="003C7BD1" w:rsidP="002A4FC6">
      <w:pPr>
        <w:pStyle w:val="Default"/>
        <w:jc w:val="both"/>
        <w:rPr>
          <w:rFonts w:asciiTheme="minorHAnsi" w:hAnsiTheme="minorHAnsi" w:cstheme="minorBidi"/>
          <w:color w:val="auto"/>
          <w:sz w:val="22"/>
          <w:szCs w:val="22"/>
          <w:lang w:val="es-CO"/>
        </w:rPr>
      </w:pPr>
    </w:p>
    <w:p w:rsidR="003C7BD1" w:rsidRDefault="003C7BD1" w:rsidP="002A4FC6">
      <w:pPr>
        <w:jc w:val="both"/>
        <w:rPr>
          <w:b/>
        </w:rPr>
      </w:pPr>
    </w:p>
    <w:p w:rsidR="003C7BD1" w:rsidRPr="003C7BD1" w:rsidRDefault="003C7BD1" w:rsidP="009C2D7B">
      <w:pPr>
        <w:pStyle w:val="Prrafodelista"/>
        <w:numPr>
          <w:ilvl w:val="0"/>
          <w:numId w:val="2"/>
        </w:numPr>
        <w:jc w:val="both"/>
        <w:rPr>
          <w:b/>
          <w:lang w:val="es-CO"/>
        </w:rPr>
      </w:pPr>
      <w:r>
        <w:rPr>
          <w:b/>
          <w:lang w:val="es-CO"/>
        </w:rPr>
        <w:lastRenderedPageBreak/>
        <w:t>Consideraciones finales</w:t>
      </w:r>
    </w:p>
    <w:p w:rsidR="003C7BD1" w:rsidRDefault="003C7BD1" w:rsidP="002A4FC6">
      <w:pPr>
        <w:pStyle w:val="Default"/>
        <w:jc w:val="both"/>
        <w:rPr>
          <w:sz w:val="22"/>
          <w:szCs w:val="22"/>
          <w:lang w:val="es-CO"/>
        </w:rPr>
      </w:pPr>
    </w:p>
    <w:p w:rsidR="003C7BD1" w:rsidRDefault="003C7BD1" w:rsidP="002A4FC6">
      <w:pPr>
        <w:pStyle w:val="Default"/>
        <w:jc w:val="both"/>
        <w:rPr>
          <w:sz w:val="22"/>
          <w:szCs w:val="22"/>
          <w:lang w:val="es-CO"/>
        </w:rPr>
      </w:pPr>
      <w:r>
        <w:rPr>
          <w:sz w:val="22"/>
          <w:szCs w:val="22"/>
          <w:lang w:val="es-CO"/>
        </w:rPr>
        <w:t xml:space="preserve">Bayer se ha caracterizado por </w:t>
      </w:r>
      <w:r w:rsidR="001326A5">
        <w:rPr>
          <w:sz w:val="22"/>
          <w:szCs w:val="22"/>
          <w:lang w:val="es-CO"/>
        </w:rPr>
        <w:t xml:space="preserve">ceñirse a </w:t>
      </w:r>
      <w:r>
        <w:rPr>
          <w:sz w:val="22"/>
          <w:szCs w:val="22"/>
          <w:lang w:val="es-CO"/>
        </w:rPr>
        <w:t xml:space="preserve">las políticas del gobierno en pos de la sostenibilidad del sistema de salud y el beneficio de los pacientes. Prueba de ellos es que su precio de venta en Colombia se ha mantenido en la banda de precios de los países de referencia, aún previo a la regulación de precios; </w:t>
      </w:r>
      <w:r w:rsidR="00FD3353">
        <w:rPr>
          <w:sz w:val="22"/>
          <w:szCs w:val="22"/>
          <w:lang w:val="es-CO"/>
        </w:rPr>
        <w:t>manteniendo</w:t>
      </w:r>
      <w:r>
        <w:rPr>
          <w:sz w:val="22"/>
          <w:szCs w:val="22"/>
          <w:lang w:val="es-CO"/>
        </w:rPr>
        <w:t xml:space="preserve"> sus incrementos de precios por debajo de la inflación tanto en el periodo de libertad de precios, como en el periodo de valores máximos de recobro y precios controlados y mantener los programas de apoyo a pacientes, que en condiciones éticas y transparentes han contribuido a mejorar las condiciones de vida de quienes están afectados</w:t>
      </w:r>
      <w:r w:rsidRPr="0092378A">
        <w:rPr>
          <w:sz w:val="22"/>
          <w:szCs w:val="22"/>
          <w:lang w:val="es-CO"/>
        </w:rPr>
        <w:t xml:space="preserve"> y sus </w:t>
      </w:r>
      <w:r w:rsidR="0092378A" w:rsidRPr="0092378A">
        <w:rPr>
          <w:sz w:val="22"/>
          <w:szCs w:val="22"/>
          <w:lang w:val="es-CO"/>
        </w:rPr>
        <w:t>familias</w:t>
      </w:r>
      <w:r w:rsidR="0092378A">
        <w:rPr>
          <w:sz w:val="22"/>
          <w:szCs w:val="22"/>
          <w:lang w:val="es-CO"/>
        </w:rPr>
        <w:t>.</w:t>
      </w:r>
      <w:r>
        <w:rPr>
          <w:sz w:val="22"/>
          <w:szCs w:val="22"/>
          <w:lang w:val="es-CO"/>
        </w:rPr>
        <w:t xml:space="preserve"> </w:t>
      </w:r>
    </w:p>
    <w:p w:rsidR="003C7BD1" w:rsidRDefault="003C7BD1" w:rsidP="002A4FC6">
      <w:pPr>
        <w:pStyle w:val="Default"/>
        <w:jc w:val="both"/>
        <w:rPr>
          <w:sz w:val="22"/>
          <w:szCs w:val="22"/>
          <w:lang w:val="es-CO"/>
        </w:rPr>
      </w:pPr>
    </w:p>
    <w:p w:rsidR="003C7BD1" w:rsidRDefault="003C7BD1" w:rsidP="002A4FC6">
      <w:pPr>
        <w:pStyle w:val="Default"/>
        <w:jc w:val="both"/>
        <w:rPr>
          <w:sz w:val="22"/>
          <w:szCs w:val="22"/>
          <w:lang w:val="es-CO"/>
        </w:rPr>
      </w:pPr>
      <w:r>
        <w:rPr>
          <w:sz w:val="22"/>
          <w:szCs w:val="22"/>
          <w:lang w:val="es-CO"/>
        </w:rPr>
        <w:t>La incorporación de los ajustes mencionados, además de estar acorde con la metodología, le permitirían a Bayer continuar ofreciendo los beneficios para los pacientes con nuestros programas</w:t>
      </w:r>
      <w:r w:rsidR="00FD3353">
        <w:rPr>
          <w:sz w:val="22"/>
          <w:szCs w:val="22"/>
          <w:lang w:val="es-CO"/>
        </w:rPr>
        <w:t xml:space="preserve"> (ver tabla</w:t>
      </w:r>
      <w:r w:rsidR="001326A5">
        <w:rPr>
          <w:sz w:val="22"/>
          <w:szCs w:val="22"/>
          <w:lang w:val="es-CO"/>
        </w:rPr>
        <w:t xml:space="preserve"> 2</w:t>
      </w:r>
      <w:r w:rsidR="00FD3353">
        <w:rPr>
          <w:sz w:val="22"/>
          <w:szCs w:val="22"/>
          <w:lang w:val="es-CO"/>
        </w:rPr>
        <w:t>)</w:t>
      </w:r>
      <w:r w:rsidR="001326A5">
        <w:rPr>
          <w:sz w:val="22"/>
          <w:szCs w:val="22"/>
          <w:lang w:val="es-CO"/>
        </w:rPr>
        <w:t>.</w:t>
      </w:r>
    </w:p>
    <w:p w:rsidR="001326A5" w:rsidRDefault="001326A5" w:rsidP="002A4FC6">
      <w:pPr>
        <w:pStyle w:val="Default"/>
        <w:jc w:val="both"/>
        <w:rPr>
          <w:sz w:val="22"/>
          <w:szCs w:val="22"/>
          <w:lang w:val="es-CO"/>
        </w:rPr>
      </w:pPr>
    </w:p>
    <w:p w:rsidR="001326A5" w:rsidRDefault="001326A5" w:rsidP="002A4FC6">
      <w:pPr>
        <w:pStyle w:val="Default"/>
        <w:jc w:val="both"/>
        <w:rPr>
          <w:sz w:val="22"/>
          <w:szCs w:val="22"/>
          <w:lang w:val="es-CO"/>
        </w:rPr>
      </w:pPr>
      <w:r>
        <w:rPr>
          <w:sz w:val="22"/>
          <w:szCs w:val="22"/>
          <w:lang w:val="es-CO"/>
        </w:rPr>
        <w:t>Esperamos encuentren la evidencia presentada sufi</w:t>
      </w:r>
      <w:r w:rsidR="00FD3353">
        <w:rPr>
          <w:sz w:val="22"/>
          <w:szCs w:val="22"/>
          <w:lang w:val="es-CO"/>
        </w:rPr>
        <w:t>c</w:t>
      </w:r>
      <w:r>
        <w:rPr>
          <w:sz w:val="22"/>
          <w:szCs w:val="22"/>
          <w:lang w:val="es-CO"/>
        </w:rPr>
        <w:t>i</w:t>
      </w:r>
      <w:r w:rsidR="00FD3353">
        <w:rPr>
          <w:sz w:val="22"/>
          <w:szCs w:val="22"/>
          <w:lang w:val="es-CO"/>
        </w:rPr>
        <w:t>en</w:t>
      </w:r>
      <w:r>
        <w:rPr>
          <w:sz w:val="22"/>
          <w:szCs w:val="22"/>
          <w:lang w:val="es-CO"/>
        </w:rPr>
        <w:t xml:space="preserve">te para soportar nuestras atentas solicitudes. </w:t>
      </w:r>
      <w:r w:rsidR="00FD3353">
        <w:rPr>
          <w:sz w:val="22"/>
          <w:szCs w:val="22"/>
          <w:lang w:val="es-CO"/>
        </w:rPr>
        <w:t>Agradeceríamos se comunicaran c</w:t>
      </w:r>
      <w:r>
        <w:rPr>
          <w:sz w:val="22"/>
          <w:szCs w:val="22"/>
          <w:lang w:val="es-CO"/>
        </w:rPr>
        <w:t xml:space="preserve">on </w:t>
      </w:r>
      <w:r w:rsidR="00FD3353">
        <w:rPr>
          <w:sz w:val="22"/>
          <w:szCs w:val="22"/>
          <w:lang w:val="es-CO"/>
        </w:rPr>
        <w:t>Luis Edgar Ibarra (</w:t>
      </w:r>
      <w:hyperlink r:id="rId8" w:history="1">
        <w:r w:rsidR="00FD3353" w:rsidRPr="00994F08">
          <w:rPr>
            <w:rStyle w:val="Hipervnculo"/>
            <w:sz w:val="22"/>
            <w:szCs w:val="22"/>
            <w:lang w:val="es-CO"/>
          </w:rPr>
          <w:t>luisedgar.ibarra@bayer.com</w:t>
        </w:r>
      </w:hyperlink>
      <w:r w:rsidR="00FD3353">
        <w:rPr>
          <w:sz w:val="22"/>
          <w:szCs w:val="22"/>
          <w:lang w:val="es-CO"/>
        </w:rPr>
        <w:t xml:space="preserve">; </w:t>
      </w:r>
      <w:proofErr w:type="spellStart"/>
      <w:r w:rsidR="00FD3353">
        <w:rPr>
          <w:sz w:val="22"/>
          <w:szCs w:val="22"/>
          <w:lang w:val="es-CO"/>
        </w:rPr>
        <w:t>cel</w:t>
      </w:r>
      <w:proofErr w:type="spellEnd"/>
      <w:r w:rsidR="00FD3353">
        <w:rPr>
          <w:sz w:val="22"/>
          <w:szCs w:val="22"/>
          <w:lang w:val="es-CO"/>
        </w:rPr>
        <w:t xml:space="preserve"> 3204760349)</w:t>
      </w:r>
      <w:r>
        <w:rPr>
          <w:sz w:val="22"/>
          <w:szCs w:val="22"/>
          <w:lang w:val="es-CO"/>
        </w:rPr>
        <w:t xml:space="preserve"> en caso de tener alguna inquietud adic</w:t>
      </w:r>
      <w:r w:rsidR="00FD3353">
        <w:rPr>
          <w:sz w:val="22"/>
          <w:szCs w:val="22"/>
          <w:lang w:val="es-CO"/>
        </w:rPr>
        <w:t>i</w:t>
      </w:r>
      <w:r>
        <w:rPr>
          <w:sz w:val="22"/>
          <w:szCs w:val="22"/>
          <w:lang w:val="es-CO"/>
        </w:rPr>
        <w:t xml:space="preserve">onal. </w:t>
      </w:r>
    </w:p>
    <w:p w:rsidR="001326A5" w:rsidRDefault="001326A5" w:rsidP="002A4FC6">
      <w:pPr>
        <w:pStyle w:val="Default"/>
        <w:jc w:val="both"/>
        <w:rPr>
          <w:sz w:val="22"/>
          <w:szCs w:val="22"/>
          <w:lang w:val="es-CO"/>
        </w:rPr>
      </w:pPr>
    </w:p>
    <w:p w:rsidR="001326A5" w:rsidRDefault="001326A5" w:rsidP="002A4FC6">
      <w:pPr>
        <w:pStyle w:val="Default"/>
        <w:jc w:val="both"/>
        <w:rPr>
          <w:sz w:val="22"/>
          <w:szCs w:val="22"/>
          <w:lang w:val="es-CO"/>
        </w:rPr>
      </w:pPr>
      <w:r>
        <w:rPr>
          <w:sz w:val="22"/>
          <w:szCs w:val="22"/>
          <w:lang w:val="es-CO"/>
        </w:rPr>
        <w:t>Saludos</w:t>
      </w:r>
    </w:p>
    <w:p w:rsidR="001326A5" w:rsidRDefault="001326A5" w:rsidP="002A4FC6">
      <w:pPr>
        <w:pStyle w:val="Default"/>
        <w:jc w:val="both"/>
        <w:rPr>
          <w:sz w:val="22"/>
          <w:szCs w:val="22"/>
          <w:lang w:val="es-CO"/>
        </w:rPr>
      </w:pPr>
    </w:p>
    <w:p w:rsidR="001326A5" w:rsidRDefault="001326A5" w:rsidP="002A4FC6">
      <w:pPr>
        <w:pStyle w:val="Default"/>
        <w:jc w:val="both"/>
        <w:rPr>
          <w:sz w:val="22"/>
          <w:szCs w:val="22"/>
          <w:lang w:val="es-CO"/>
        </w:rPr>
      </w:pPr>
      <w:r>
        <w:rPr>
          <w:sz w:val="22"/>
          <w:szCs w:val="22"/>
          <w:lang w:val="es-CO"/>
        </w:rPr>
        <w:t>Alej</w:t>
      </w:r>
      <w:r w:rsidR="00FD3353">
        <w:rPr>
          <w:sz w:val="22"/>
          <w:szCs w:val="22"/>
          <w:lang w:val="es-CO"/>
        </w:rPr>
        <w:t>and</w:t>
      </w:r>
      <w:r>
        <w:rPr>
          <w:sz w:val="22"/>
          <w:szCs w:val="22"/>
          <w:lang w:val="es-CO"/>
        </w:rPr>
        <w:t>ro Martin</w:t>
      </w:r>
    </w:p>
    <w:p w:rsidR="001326A5" w:rsidRDefault="001326A5" w:rsidP="002A4FC6">
      <w:pPr>
        <w:pStyle w:val="Default"/>
        <w:jc w:val="both"/>
        <w:rPr>
          <w:sz w:val="22"/>
          <w:szCs w:val="22"/>
          <w:lang w:val="es-CO"/>
        </w:rPr>
      </w:pPr>
    </w:p>
    <w:p w:rsidR="001326A5" w:rsidRDefault="001326A5" w:rsidP="002A4FC6">
      <w:pPr>
        <w:pStyle w:val="Default"/>
        <w:jc w:val="both"/>
        <w:rPr>
          <w:sz w:val="22"/>
          <w:szCs w:val="22"/>
          <w:lang w:val="es-CO"/>
        </w:rPr>
      </w:pPr>
      <w:r>
        <w:rPr>
          <w:sz w:val="22"/>
          <w:szCs w:val="22"/>
          <w:lang w:val="es-CO"/>
        </w:rPr>
        <w:t>Juan Carlos Alandete</w:t>
      </w:r>
    </w:p>
    <w:sectPr w:rsidR="001326A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F4B6B"/>
    <w:multiLevelType w:val="hybridMultilevel"/>
    <w:tmpl w:val="05CA7F1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1EF71F4E"/>
    <w:multiLevelType w:val="hybridMultilevel"/>
    <w:tmpl w:val="89922CC0"/>
    <w:lvl w:ilvl="0" w:tplc="43382E02">
      <w:numFmt w:val="bullet"/>
      <w:lvlText w:val="-"/>
      <w:lvlJc w:val="left"/>
      <w:pPr>
        <w:ind w:left="720" w:hanging="360"/>
      </w:pPr>
      <w:rPr>
        <w:rFonts w:ascii="Arial" w:eastAsia="Calibr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nsid w:val="418A1B82"/>
    <w:multiLevelType w:val="hybridMultilevel"/>
    <w:tmpl w:val="A2E84170"/>
    <w:lvl w:ilvl="0" w:tplc="DFE04A04">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65326E66"/>
    <w:multiLevelType w:val="hybridMultilevel"/>
    <w:tmpl w:val="395E38B2"/>
    <w:lvl w:ilvl="0" w:tplc="0C0A0013">
      <w:start w:val="1"/>
      <w:numFmt w:val="upperRoman"/>
      <w:lvlText w:val="%1."/>
      <w:lvlJc w:val="righ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nsid w:val="7A002173"/>
    <w:multiLevelType w:val="hybridMultilevel"/>
    <w:tmpl w:val="A420FD0E"/>
    <w:lvl w:ilvl="0" w:tplc="517424BC">
      <w:start w:val="5"/>
      <w:numFmt w:val="bullet"/>
      <w:lvlText w:val="-"/>
      <w:lvlJc w:val="left"/>
      <w:pPr>
        <w:ind w:left="720" w:hanging="360"/>
      </w:pPr>
      <w:rPr>
        <w:rFonts w:ascii="Calibri" w:eastAsiaTheme="minorHAnsi" w:hAnsi="Calibri" w:cs="Calibri" w:hint="default"/>
        <w:sz w:val="22"/>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7EB073E7"/>
    <w:multiLevelType w:val="hybridMultilevel"/>
    <w:tmpl w:val="879030A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A9C"/>
    <w:rsid w:val="00041A9C"/>
    <w:rsid w:val="000F1C57"/>
    <w:rsid w:val="001326A5"/>
    <w:rsid w:val="00215FB4"/>
    <w:rsid w:val="00245482"/>
    <w:rsid w:val="002A4FC6"/>
    <w:rsid w:val="002C1DC4"/>
    <w:rsid w:val="00375E75"/>
    <w:rsid w:val="003C7BD1"/>
    <w:rsid w:val="00424A05"/>
    <w:rsid w:val="00447A41"/>
    <w:rsid w:val="0050213A"/>
    <w:rsid w:val="0060598B"/>
    <w:rsid w:val="0066070C"/>
    <w:rsid w:val="006968EC"/>
    <w:rsid w:val="006A0D59"/>
    <w:rsid w:val="006F4B5D"/>
    <w:rsid w:val="0073717D"/>
    <w:rsid w:val="00762A8C"/>
    <w:rsid w:val="00766E9C"/>
    <w:rsid w:val="008B5EED"/>
    <w:rsid w:val="008D5EF9"/>
    <w:rsid w:val="008F5B5F"/>
    <w:rsid w:val="0092378A"/>
    <w:rsid w:val="00953008"/>
    <w:rsid w:val="009A0218"/>
    <w:rsid w:val="009C2D7B"/>
    <w:rsid w:val="00A11CC2"/>
    <w:rsid w:val="00A25619"/>
    <w:rsid w:val="00A45214"/>
    <w:rsid w:val="00A65961"/>
    <w:rsid w:val="00AF436C"/>
    <w:rsid w:val="00B126CF"/>
    <w:rsid w:val="00B22340"/>
    <w:rsid w:val="00BE0937"/>
    <w:rsid w:val="00C60527"/>
    <w:rsid w:val="00C65E45"/>
    <w:rsid w:val="00CF17E8"/>
    <w:rsid w:val="00D1206E"/>
    <w:rsid w:val="00D46FF2"/>
    <w:rsid w:val="00D708B3"/>
    <w:rsid w:val="00D76391"/>
    <w:rsid w:val="00D93FC5"/>
    <w:rsid w:val="00DC5EAF"/>
    <w:rsid w:val="00E52A1D"/>
    <w:rsid w:val="00E82BF1"/>
    <w:rsid w:val="00EA4EF3"/>
    <w:rsid w:val="00F537EB"/>
    <w:rsid w:val="00FD3353"/>
    <w:rsid w:val="00FE388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41A9C"/>
    <w:pPr>
      <w:ind w:left="720"/>
      <w:contextualSpacing/>
    </w:pPr>
  </w:style>
  <w:style w:type="paragraph" w:customStyle="1" w:styleId="Default">
    <w:name w:val="Default"/>
    <w:rsid w:val="00424A05"/>
    <w:pPr>
      <w:autoSpaceDE w:val="0"/>
      <w:autoSpaceDN w:val="0"/>
      <w:adjustRightInd w:val="0"/>
      <w:spacing w:after="0" w:line="240" w:lineRule="auto"/>
    </w:pPr>
    <w:rPr>
      <w:rFonts w:ascii="Calibri" w:hAnsi="Calibri" w:cs="Calibri"/>
      <w:color w:val="000000"/>
      <w:sz w:val="24"/>
      <w:szCs w:val="24"/>
    </w:rPr>
  </w:style>
  <w:style w:type="character" w:styleId="Hipervnculo">
    <w:name w:val="Hyperlink"/>
    <w:basedOn w:val="Fuentedeprrafopredeter"/>
    <w:uiPriority w:val="99"/>
    <w:unhideWhenUsed/>
    <w:rsid w:val="00D46FF2"/>
    <w:rPr>
      <w:color w:val="0000FF" w:themeColor="hyperlink"/>
      <w:u w:val="single"/>
    </w:rPr>
  </w:style>
  <w:style w:type="paragraph" w:styleId="Textodeglobo">
    <w:name w:val="Balloon Text"/>
    <w:basedOn w:val="Normal"/>
    <w:link w:val="TextodegloboCar"/>
    <w:uiPriority w:val="99"/>
    <w:semiHidden/>
    <w:unhideWhenUsed/>
    <w:rsid w:val="0073717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371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41A9C"/>
    <w:pPr>
      <w:ind w:left="720"/>
      <w:contextualSpacing/>
    </w:pPr>
  </w:style>
  <w:style w:type="paragraph" w:customStyle="1" w:styleId="Default">
    <w:name w:val="Default"/>
    <w:rsid w:val="00424A05"/>
    <w:pPr>
      <w:autoSpaceDE w:val="0"/>
      <w:autoSpaceDN w:val="0"/>
      <w:adjustRightInd w:val="0"/>
      <w:spacing w:after="0" w:line="240" w:lineRule="auto"/>
    </w:pPr>
    <w:rPr>
      <w:rFonts w:ascii="Calibri" w:hAnsi="Calibri" w:cs="Calibri"/>
      <w:color w:val="000000"/>
      <w:sz w:val="24"/>
      <w:szCs w:val="24"/>
    </w:rPr>
  </w:style>
  <w:style w:type="character" w:styleId="Hipervnculo">
    <w:name w:val="Hyperlink"/>
    <w:basedOn w:val="Fuentedeprrafopredeter"/>
    <w:uiPriority w:val="99"/>
    <w:unhideWhenUsed/>
    <w:rsid w:val="00D46FF2"/>
    <w:rPr>
      <w:color w:val="0000FF" w:themeColor="hyperlink"/>
      <w:u w:val="single"/>
    </w:rPr>
  </w:style>
  <w:style w:type="paragraph" w:styleId="Textodeglobo">
    <w:name w:val="Balloon Text"/>
    <w:basedOn w:val="Normal"/>
    <w:link w:val="TextodegloboCar"/>
    <w:uiPriority w:val="99"/>
    <w:semiHidden/>
    <w:unhideWhenUsed/>
    <w:rsid w:val="0073717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371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5142">
      <w:bodyDiv w:val="1"/>
      <w:marLeft w:val="0"/>
      <w:marRight w:val="0"/>
      <w:marTop w:val="0"/>
      <w:marBottom w:val="0"/>
      <w:divBdr>
        <w:top w:val="none" w:sz="0" w:space="0" w:color="auto"/>
        <w:left w:val="none" w:sz="0" w:space="0" w:color="auto"/>
        <w:bottom w:val="none" w:sz="0" w:space="0" w:color="auto"/>
        <w:right w:val="none" w:sz="0" w:space="0" w:color="auto"/>
      </w:divBdr>
    </w:div>
    <w:div w:id="82144044">
      <w:bodyDiv w:val="1"/>
      <w:marLeft w:val="0"/>
      <w:marRight w:val="0"/>
      <w:marTop w:val="0"/>
      <w:marBottom w:val="0"/>
      <w:divBdr>
        <w:top w:val="none" w:sz="0" w:space="0" w:color="auto"/>
        <w:left w:val="none" w:sz="0" w:space="0" w:color="auto"/>
        <w:bottom w:val="none" w:sz="0" w:space="0" w:color="auto"/>
        <w:right w:val="none" w:sz="0" w:space="0" w:color="auto"/>
      </w:divBdr>
    </w:div>
    <w:div w:id="183331148">
      <w:bodyDiv w:val="1"/>
      <w:marLeft w:val="0"/>
      <w:marRight w:val="0"/>
      <w:marTop w:val="0"/>
      <w:marBottom w:val="0"/>
      <w:divBdr>
        <w:top w:val="none" w:sz="0" w:space="0" w:color="auto"/>
        <w:left w:val="none" w:sz="0" w:space="0" w:color="auto"/>
        <w:bottom w:val="none" w:sz="0" w:space="0" w:color="auto"/>
        <w:right w:val="none" w:sz="0" w:space="0" w:color="auto"/>
      </w:divBdr>
    </w:div>
    <w:div w:id="321542294">
      <w:bodyDiv w:val="1"/>
      <w:marLeft w:val="0"/>
      <w:marRight w:val="0"/>
      <w:marTop w:val="0"/>
      <w:marBottom w:val="0"/>
      <w:divBdr>
        <w:top w:val="none" w:sz="0" w:space="0" w:color="auto"/>
        <w:left w:val="none" w:sz="0" w:space="0" w:color="auto"/>
        <w:bottom w:val="none" w:sz="0" w:space="0" w:color="auto"/>
        <w:right w:val="none" w:sz="0" w:space="0" w:color="auto"/>
      </w:divBdr>
    </w:div>
    <w:div w:id="459617522">
      <w:bodyDiv w:val="1"/>
      <w:marLeft w:val="0"/>
      <w:marRight w:val="0"/>
      <w:marTop w:val="0"/>
      <w:marBottom w:val="0"/>
      <w:divBdr>
        <w:top w:val="none" w:sz="0" w:space="0" w:color="auto"/>
        <w:left w:val="none" w:sz="0" w:space="0" w:color="auto"/>
        <w:bottom w:val="none" w:sz="0" w:space="0" w:color="auto"/>
        <w:right w:val="none" w:sz="0" w:space="0" w:color="auto"/>
      </w:divBdr>
      <w:divsChild>
        <w:div w:id="1050811364">
          <w:marLeft w:val="0"/>
          <w:marRight w:val="0"/>
          <w:marTop w:val="0"/>
          <w:marBottom w:val="0"/>
          <w:divBdr>
            <w:top w:val="none" w:sz="0" w:space="0" w:color="auto"/>
            <w:left w:val="none" w:sz="0" w:space="0" w:color="auto"/>
            <w:bottom w:val="none" w:sz="0" w:space="0" w:color="auto"/>
            <w:right w:val="none" w:sz="0" w:space="0" w:color="auto"/>
          </w:divBdr>
        </w:div>
      </w:divsChild>
    </w:div>
    <w:div w:id="469828261">
      <w:bodyDiv w:val="1"/>
      <w:marLeft w:val="0"/>
      <w:marRight w:val="0"/>
      <w:marTop w:val="0"/>
      <w:marBottom w:val="0"/>
      <w:divBdr>
        <w:top w:val="none" w:sz="0" w:space="0" w:color="auto"/>
        <w:left w:val="none" w:sz="0" w:space="0" w:color="auto"/>
        <w:bottom w:val="none" w:sz="0" w:space="0" w:color="auto"/>
        <w:right w:val="none" w:sz="0" w:space="0" w:color="auto"/>
      </w:divBdr>
    </w:div>
    <w:div w:id="523514945">
      <w:bodyDiv w:val="1"/>
      <w:marLeft w:val="0"/>
      <w:marRight w:val="0"/>
      <w:marTop w:val="0"/>
      <w:marBottom w:val="0"/>
      <w:divBdr>
        <w:top w:val="none" w:sz="0" w:space="0" w:color="auto"/>
        <w:left w:val="none" w:sz="0" w:space="0" w:color="auto"/>
        <w:bottom w:val="none" w:sz="0" w:space="0" w:color="auto"/>
        <w:right w:val="none" w:sz="0" w:space="0" w:color="auto"/>
      </w:divBdr>
    </w:div>
    <w:div w:id="761223954">
      <w:bodyDiv w:val="1"/>
      <w:marLeft w:val="0"/>
      <w:marRight w:val="0"/>
      <w:marTop w:val="0"/>
      <w:marBottom w:val="0"/>
      <w:divBdr>
        <w:top w:val="none" w:sz="0" w:space="0" w:color="auto"/>
        <w:left w:val="none" w:sz="0" w:space="0" w:color="auto"/>
        <w:bottom w:val="none" w:sz="0" w:space="0" w:color="auto"/>
        <w:right w:val="none" w:sz="0" w:space="0" w:color="auto"/>
      </w:divBdr>
    </w:div>
    <w:div w:id="957875099">
      <w:bodyDiv w:val="1"/>
      <w:marLeft w:val="0"/>
      <w:marRight w:val="0"/>
      <w:marTop w:val="0"/>
      <w:marBottom w:val="0"/>
      <w:divBdr>
        <w:top w:val="none" w:sz="0" w:space="0" w:color="auto"/>
        <w:left w:val="none" w:sz="0" w:space="0" w:color="auto"/>
        <w:bottom w:val="none" w:sz="0" w:space="0" w:color="auto"/>
        <w:right w:val="none" w:sz="0" w:space="0" w:color="auto"/>
      </w:divBdr>
    </w:div>
    <w:div w:id="969480275">
      <w:bodyDiv w:val="1"/>
      <w:marLeft w:val="0"/>
      <w:marRight w:val="0"/>
      <w:marTop w:val="0"/>
      <w:marBottom w:val="0"/>
      <w:divBdr>
        <w:top w:val="none" w:sz="0" w:space="0" w:color="auto"/>
        <w:left w:val="none" w:sz="0" w:space="0" w:color="auto"/>
        <w:bottom w:val="none" w:sz="0" w:space="0" w:color="auto"/>
        <w:right w:val="none" w:sz="0" w:space="0" w:color="auto"/>
      </w:divBdr>
    </w:div>
    <w:div w:id="1021589905">
      <w:bodyDiv w:val="1"/>
      <w:marLeft w:val="0"/>
      <w:marRight w:val="0"/>
      <w:marTop w:val="0"/>
      <w:marBottom w:val="0"/>
      <w:divBdr>
        <w:top w:val="none" w:sz="0" w:space="0" w:color="auto"/>
        <w:left w:val="none" w:sz="0" w:space="0" w:color="auto"/>
        <w:bottom w:val="none" w:sz="0" w:space="0" w:color="auto"/>
        <w:right w:val="none" w:sz="0" w:space="0" w:color="auto"/>
      </w:divBdr>
      <w:divsChild>
        <w:div w:id="595477947">
          <w:marLeft w:val="0"/>
          <w:marRight w:val="0"/>
          <w:marTop w:val="0"/>
          <w:marBottom w:val="0"/>
          <w:divBdr>
            <w:top w:val="none" w:sz="0" w:space="0" w:color="auto"/>
            <w:left w:val="none" w:sz="0" w:space="0" w:color="auto"/>
            <w:bottom w:val="none" w:sz="0" w:space="0" w:color="auto"/>
            <w:right w:val="none" w:sz="0" w:space="0" w:color="auto"/>
          </w:divBdr>
        </w:div>
      </w:divsChild>
    </w:div>
    <w:div w:id="1360743352">
      <w:bodyDiv w:val="1"/>
      <w:marLeft w:val="0"/>
      <w:marRight w:val="0"/>
      <w:marTop w:val="0"/>
      <w:marBottom w:val="0"/>
      <w:divBdr>
        <w:top w:val="none" w:sz="0" w:space="0" w:color="auto"/>
        <w:left w:val="none" w:sz="0" w:space="0" w:color="auto"/>
        <w:bottom w:val="none" w:sz="0" w:space="0" w:color="auto"/>
        <w:right w:val="none" w:sz="0" w:space="0" w:color="auto"/>
      </w:divBdr>
    </w:div>
    <w:div w:id="1628929546">
      <w:bodyDiv w:val="1"/>
      <w:marLeft w:val="0"/>
      <w:marRight w:val="0"/>
      <w:marTop w:val="0"/>
      <w:marBottom w:val="0"/>
      <w:divBdr>
        <w:top w:val="none" w:sz="0" w:space="0" w:color="auto"/>
        <w:left w:val="none" w:sz="0" w:space="0" w:color="auto"/>
        <w:bottom w:val="none" w:sz="0" w:space="0" w:color="auto"/>
        <w:right w:val="none" w:sz="0" w:space="0" w:color="auto"/>
      </w:divBdr>
    </w:div>
    <w:div w:id="1883010168">
      <w:bodyDiv w:val="1"/>
      <w:marLeft w:val="0"/>
      <w:marRight w:val="0"/>
      <w:marTop w:val="0"/>
      <w:marBottom w:val="0"/>
      <w:divBdr>
        <w:top w:val="none" w:sz="0" w:space="0" w:color="auto"/>
        <w:left w:val="none" w:sz="0" w:space="0" w:color="auto"/>
        <w:bottom w:val="none" w:sz="0" w:space="0" w:color="auto"/>
        <w:right w:val="none" w:sz="0" w:space="0" w:color="auto"/>
      </w:divBdr>
    </w:div>
    <w:div w:id="1924608232">
      <w:bodyDiv w:val="1"/>
      <w:marLeft w:val="0"/>
      <w:marRight w:val="0"/>
      <w:marTop w:val="0"/>
      <w:marBottom w:val="0"/>
      <w:divBdr>
        <w:top w:val="none" w:sz="0" w:space="0" w:color="auto"/>
        <w:left w:val="none" w:sz="0" w:space="0" w:color="auto"/>
        <w:bottom w:val="none" w:sz="0" w:space="0" w:color="auto"/>
        <w:right w:val="none" w:sz="0" w:space="0" w:color="auto"/>
      </w:divBdr>
    </w:div>
    <w:div w:id="212134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isedgar.ibarra@bayer.com" TargetMode="External"/><Relationship Id="rId3" Type="http://schemas.microsoft.com/office/2007/relationships/stylesWithEffects" Target="stylesWithEffect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ca.mef.gub.uy/portal/web/guest/llamado_m30_0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3181</Words>
  <Characters>17496</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Bayer</Company>
  <LinksUpToDate>false</LinksUpToDate>
  <CharactersWithSpaces>20636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Edgar Ibarra</dc:creator>
  <cp:lastModifiedBy>Luis Edgar Ibarra</cp:lastModifiedBy>
  <cp:revision>3</cp:revision>
  <dcterms:created xsi:type="dcterms:W3CDTF">2013-09-06T12:32:00Z</dcterms:created>
  <dcterms:modified xsi:type="dcterms:W3CDTF">2013-09-06T13:22:00Z</dcterms:modified>
</cp:coreProperties>
</file>